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10116" w:type="dxa"/>
        <w:tblInd w:w="-615" w:type="dxa"/>
        <w:tblLayout w:type="fixed"/>
        <w:tblLook w:val="0000" w:firstRow="0" w:lastRow="0" w:firstColumn="0" w:lastColumn="0" w:noHBand="0" w:noVBand="0"/>
      </w:tblPr>
      <w:tblGrid>
        <w:gridCol w:w="2737"/>
        <w:gridCol w:w="1067"/>
        <w:gridCol w:w="1549"/>
        <w:gridCol w:w="1995"/>
        <w:gridCol w:w="2768"/>
      </w:tblGrid>
      <w:tr w:rsidR="00385E1E" w14:paraId="1AC1E346" w14:textId="77777777">
        <w:trPr>
          <w:trHeight w:val="23"/>
        </w:trPr>
        <w:tc>
          <w:tcPr>
            <w:tcW w:w="1011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14:paraId="1AC1E345" w14:textId="77777777" w:rsidR="00385E1E" w:rsidRDefault="007F3A10" w:rsidP="00713EBD">
            <w:pPr>
              <w:spacing w:after="0" w:line="240" w:lineRule="auto"/>
              <w:jc w:val="center"/>
              <w:rPr>
                <w:sz w:val="24"/>
                <w:szCs w:val="24"/>
              </w:rPr>
            </w:pPr>
            <w:r>
              <w:rPr>
                <w:b/>
                <w:sz w:val="24"/>
                <w:szCs w:val="24"/>
              </w:rPr>
              <w:t>IDENTIFICAÇÃO</w:t>
            </w:r>
          </w:p>
        </w:tc>
      </w:tr>
      <w:tr w:rsidR="00385E1E" w14:paraId="1AC1E349" w14:textId="77777777">
        <w:trPr>
          <w:trHeight w:val="562"/>
        </w:trPr>
        <w:tc>
          <w:tcPr>
            <w:tcW w:w="2737" w:type="dxa"/>
            <w:tcBorders>
              <w:top w:val="single" w:sz="4" w:space="0" w:color="000000"/>
              <w:left w:val="single" w:sz="4" w:space="0" w:color="000000"/>
              <w:bottom w:val="single" w:sz="4" w:space="0" w:color="000000"/>
            </w:tcBorders>
            <w:shd w:val="clear" w:color="auto" w:fill="auto"/>
            <w:vAlign w:val="center"/>
          </w:tcPr>
          <w:p w14:paraId="1AC1E347" w14:textId="77777777" w:rsidR="00385E1E" w:rsidRDefault="007F3A10" w:rsidP="00713EBD">
            <w:pPr>
              <w:spacing w:after="0" w:line="240" w:lineRule="auto"/>
              <w:rPr>
                <w:sz w:val="24"/>
                <w:szCs w:val="24"/>
              </w:rPr>
            </w:pPr>
            <w:r>
              <w:rPr>
                <w:b/>
                <w:sz w:val="24"/>
                <w:szCs w:val="24"/>
              </w:rPr>
              <w:t>Nome da Disciplina</w:t>
            </w:r>
          </w:p>
        </w:tc>
        <w:tc>
          <w:tcPr>
            <w:tcW w:w="7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1E348" w14:textId="7DEC0B1E" w:rsidR="00385E1E" w:rsidRDefault="008A7960" w:rsidP="00713EBD">
            <w:pPr>
              <w:spacing w:after="0" w:line="240" w:lineRule="auto"/>
              <w:jc w:val="center"/>
              <w:rPr>
                <w:sz w:val="24"/>
                <w:szCs w:val="24"/>
              </w:rPr>
            </w:pPr>
            <w:r>
              <w:rPr>
                <w:b/>
                <w:sz w:val="24"/>
                <w:szCs w:val="24"/>
              </w:rPr>
              <w:t>A PRÁTICA DA</w:t>
            </w:r>
            <w:r w:rsidR="00C2212A">
              <w:rPr>
                <w:b/>
                <w:sz w:val="24"/>
                <w:szCs w:val="24"/>
              </w:rPr>
              <w:t xml:space="preserve"> DOCÊNCIA</w:t>
            </w:r>
          </w:p>
        </w:tc>
      </w:tr>
      <w:tr w:rsidR="00385E1E" w14:paraId="1AC1E34C" w14:textId="77777777">
        <w:trPr>
          <w:trHeight w:val="562"/>
        </w:trPr>
        <w:tc>
          <w:tcPr>
            <w:tcW w:w="2737" w:type="dxa"/>
            <w:tcBorders>
              <w:top w:val="single" w:sz="4" w:space="0" w:color="000000"/>
              <w:left w:val="single" w:sz="4" w:space="0" w:color="000000"/>
              <w:bottom w:val="single" w:sz="4" w:space="0" w:color="000000"/>
            </w:tcBorders>
            <w:shd w:val="clear" w:color="auto" w:fill="auto"/>
            <w:vAlign w:val="center"/>
          </w:tcPr>
          <w:p w14:paraId="1AC1E34A" w14:textId="77777777" w:rsidR="00385E1E" w:rsidRDefault="007F3A10" w:rsidP="00713EBD">
            <w:pPr>
              <w:spacing w:after="0" w:line="240" w:lineRule="auto"/>
              <w:rPr>
                <w:sz w:val="24"/>
                <w:szCs w:val="24"/>
              </w:rPr>
            </w:pPr>
            <w:r>
              <w:rPr>
                <w:b/>
                <w:sz w:val="24"/>
                <w:szCs w:val="24"/>
              </w:rPr>
              <w:t>Obrigatória</w:t>
            </w:r>
          </w:p>
        </w:tc>
        <w:tc>
          <w:tcPr>
            <w:tcW w:w="7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1E34B" w14:textId="77777777" w:rsidR="00385E1E" w:rsidRDefault="007F3A10" w:rsidP="00713EBD">
            <w:pPr>
              <w:spacing w:after="0" w:line="240" w:lineRule="auto"/>
              <w:jc w:val="center"/>
              <w:rPr>
                <w:b/>
                <w:sz w:val="24"/>
                <w:szCs w:val="24"/>
              </w:rPr>
            </w:pPr>
            <w:r>
              <w:rPr>
                <w:b/>
                <w:sz w:val="24"/>
                <w:szCs w:val="24"/>
              </w:rPr>
              <w:t>Sim</w:t>
            </w:r>
          </w:p>
        </w:tc>
      </w:tr>
      <w:tr w:rsidR="00385E1E" w14:paraId="1AC1E350" w14:textId="77777777">
        <w:trPr>
          <w:trHeight w:val="556"/>
        </w:trPr>
        <w:tc>
          <w:tcPr>
            <w:tcW w:w="2737" w:type="dxa"/>
            <w:tcBorders>
              <w:top w:val="single" w:sz="4" w:space="0" w:color="000000"/>
              <w:left w:val="single" w:sz="4" w:space="0" w:color="000000"/>
              <w:bottom w:val="single" w:sz="4" w:space="0" w:color="000000"/>
            </w:tcBorders>
            <w:shd w:val="clear" w:color="auto" w:fill="auto"/>
            <w:vAlign w:val="center"/>
          </w:tcPr>
          <w:p w14:paraId="1AC1E34D" w14:textId="77777777" w:rsidR="00385E1E" w:rsidRDefault="007F3A10" w:rsidP="00713EBD">
            <w:pPr>
              <w:spacing w:after="0" w:line="240" w:lineRule="auto"/>
              <w:rPr>
                <w:sz w:val="24"/>
                <w:szCs w:val="24"/>
              </w:rPr>
            </w:pPr>
            <w:r>
              <w:rPr>
                <w:b/>
                <w:sz w:val="24"/>
                <w:szCs w:val="24"/>
              </w:rPr>
              <w:t>Total de Créditos</w:t>
            </w:r>
          </w:p>
          <w:p w14:paraId="1AC1E34E" w14:textId="77777777" w:rsidR="00385E1E" w:rsidRDefault="007F3A10" w:rsidP="00713EBD">
            <w:pPr>
              <w:spacing w:after="0" w:line="240" w:lineRule="auto"/>
              <w:rPr>
                <w:sz w:val="24"/>
                <w:szCs w:val="24"/>
              </w:rPr>
            </w:pPr>
            <w:r>
              <w:rPr>
                <w:b/>
                <w:sz w:val="24"/>
                <w:szCs w:val="24"/>
              </w:rPr>
              <w:t>(1 crédito = 15 horas)</w:t>
            </w:r>
          </w:p>
        </w:tc>
        <w:tc>
          <w:tcPr>
            <w:tcW w:w="7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1E34F" w14:textId="2301A9F0" w:rsidR="00385E1E" w:rsidRDefault="00C2212A" w:rsidP="00713EBD">
            <w:pPr>
              <w:spacing w:after="0" w:line="240" w:lineRule="auto"/>
              <w:jc w:val="center"/>
              <w:rPr>
                <w:sz w:val="24"/>
                <w:szCs w:val="24"/>
              </w:rPr>
            </w:pPr>
            <w:r>
              <w:rPr>
                <w:b/>
                <w:sz w:val="24"/>
                <w:szCs w:val="24"/>
              </w:rPr>
              <w:t>2</w:t>
            </w:r>
          </w:p>
        </w:tc>
      </w:tr>
      <w:tr w:rsidR="00385E1E" w14:paraId="1AC1E356" w14:textId="77777777">
        <w:trPr>
          <w:trHeight w:val="398"/>
        </w:trPr>
        <w:tc>
          <w:tcPr>
            <w:tcW w:w="2737" w:type="dxa"/>
            <w:vMerge w:val="restart"/>
            <w:tcBorders>
              <w:top w:val="single" w:sz="4" w:space="0" w:color="000000"/>
              <w:left w:val="single" w:sz="4" w:space="0" w:color="000000"/>
            </w:tcBorders>
            <w:shd w:val="clear" w:color="auto" w:fill="auto"/>
            <w:vAlign w:val="center"/>
          </w:tcPr>
          <w:p w14:paraId="1AC1E351" w14:textId="2AB140EF" w:rsidR="00385E1E" w:rsidRDefault="007F3A10" w:rsidP="00713EBD">
            <w:pPr>
              <w:spacing w:after="0" w:line="240" w:lineRule="auto"/>
              <w:rPr>
                <w:sz w:val="24"/>
                <w:szCs w:val="24"/>
              </w:rPr>
            </w:pPr>
            <w:r>
              <w:rPr>
                <w:b/>
                <w:sz w:val="24"/>
                <w:szCs w:val="24"/>
              </w:rPr>
              <w:t>Prático</w:t>
            </w:r>
          </w:p>
        </w:tc>
        <w:tc>
          <w:tcPr>
            <w:tcW w:w="1067" w:type="dxa"/>
            <w:vMerge w:val="restart"/>
            <w:tcBorders>
              <w:top w:val="single" w:sz="4" w:space="0" w:color="000000"/>
              <w:left w:val="single" w:sz="4" w:space="0" w:color="000000"/>
              <w:right w:val="single" w:sz="4" w:space="0" w:color="000000"/>
            </w:tcBorders>
            <w:shd w:val="clear" w:color="auto" w:fill="auto"/>
            <w:vAlign w:val="center"/>
          </w:tcPr>
          <w:p w14:paraId="1AC1E352" w14:textId="1C55B590" w:rsidR="00385E1E" w:rsidRDefault="00C547FC" w:rsidP="00713EBD">
            <w:pPr>
              <w:spacing w:after="0" w:line="240" w:lineRule="auto"/>
              <w:jc w:val="center"/>
              <w:rPr>
                <w:sz w:val="24"/>
                <w:szCs w:val="24"/>
              </w:rPr>
            </w:pPr>
            <w:r>
              <w:rPr>
                <w:b/>
                <w:sz w:val="24"/>
                <w:szCs w:val="24"/>
              </w:rPr>
              <w:t>1</w:t>
            </w:r>
          </w:p>
        </w:tc>
        <w:tc>
          <w:tcPr>
            <w:tcW w:w="1549" w:type="dxa"/>
            <w:vMerge w:val="restart"/>
            <w:tcBorders>
              <w:top w:val="single" w:sz="4" w:space="0" w:color="000000"/>
              <w:left w:val="single" w:sz="4" w:space="0" w:color="000000"/>
              <w:right w:val="single" w:sz="4" w:space="0" w:color="000000"/>
            </w:tcBorders>
            <w:shd w:val="clear" w:color="auto" w:fill="auto"/>
            <w:vAlign w:val="center"/>
          </w:tcPr>
          <w:p w14:paraId="1AC1E353" w14:textId="77777777" w:rsidR="00385E1E" w:rsidRDefault="007F3A10" w:rsidP="00713EBD">
            <w:pPr>
              <w:spacing w:after="0" w:line="240" w:lineRule="auto"/>
              <w:jc w:val="center"/>
              <w:rPr>
                <w:sz w:val="24"/>
                <w:szCs w:val="24"/>
              </w:rPr>
            </w:pPr>
            <w:r>
              <w:rPr>
                <w:b/>
                <w:sz w:val="24"/>
                <w:szCs w:val="24"/>
              </w:rPr>
              <w:t>Teóricos</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E354" w14:textId="77777777" w:rsidR="00385E1E" w:rsidRDefault="007F3A10" w:rsidP="00713EBD">
            <w:pPr>
              <w:spacing w:after="0" w:line="240" w:lineRule="auto"/>
              <w:jc w:val="center"/>
              <w:rPr>
                <w:sz w:val="24"/>
                <w:szCs w:val="24"/>
              </w:rPr>
            </w:pPr>
            <w:r>
              <w:rPr>
                <w:b/>
                <w:sz w:val="24"/>
                <w:szCs w:val="24"/>
              </w:rPr>
              <w:t>Presencial</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E355" w14:textId="2BC683F0" w:rsidR="00385E1E" w:rsidRDefault="00C547FC" w:rsidP="00713EBD">
            <w:pPr>
              <w:spacing w:after="0" w:line="240" w:lineRule="auto"/>
              <w:jc w:val="center"/>
              <w:rPr>
                <w:sz w:val="24"/>
                <w:szCs w:val="24"/>
              </w:rPr>
            </w:pPr>
            <w:r>
              <w:rPr>
                <w:b/>
                <w:sz w:val="24"/>
                <w:szCs w:val="24"/>
              </w:rPr>
              <w:t>1</w:t>
            </w:r>
          </w:p>
        </w:tc>
      </w:tr>
      <w:tr w:rsidR="00385E1E" w14:paraId="1AC1E35C" w14:textId="77777777">
        <w:trPr>
          <w:trHeight w:val="397"/>
        </w:trPr>
        <w:tc>
          <w:tcPr>
            <w:tcW w:w="2737" w:type="dxa"/>
            <w:vMerge/>
            <w:tcBorders>
              <w:top w:val="single" w:sz="4" w:space="0" w:color="000000"/>
              <w:left w:val="single" w:sz="4" w:space="0" w:color="000000"/>
            </w:tcBorders>
            <w:shd w:val="clear" w:color="auto" w:fill="auto"/>
            <w:vAlign w:val="center"/>
          </w:tcPr>
          <w:p w14:paraId="1AC1E357" w14:textId="77777777" w:rsidR="00385E1E" w:rsidRDefault="00385E1E" w:rsidP="00713EBD">
            <w:pPr>
              <w:widowControl w:val="0"/>
              <w:pBdr>
                <w:top w:val="nil"/>
                <w:left w:val="nil"/>
                <w:bottom w:val="nil"/>
                <w:right w:val="nil"/>
                <w:between w:val="nil"/>
              </w:pBdr>
              <w:spacing w:after="0" w:line="240" w:lineRule="auto"/>
              <w:rPr>
                <w:sz w:val="24"/>
                <w:szCs w:val="24"/>
              </w:rPr>
            </w:pPr>
          </w:p>
        </w:tc>
        <w:tc>
          <w:tcPr>
            <w:tcW w:w="1067" w:type="dxa"/>
            <w:vMerge/>
            <w:tcBorders>
              <w:top w:val="single" w:sz="4" w:space="0" w:color="000000"/>
              <w:left w:val="single" w:sz="4" w:space="0" w:color="000000"/>
              <w:right w:val="single" w:sz="4" w:space="0" w:color="000000"/>
            </w:tcBorders>
            <w:shd w:val="clear" w:color="auto" w:fill="auto"/>
            <w:vAlign w:val="center"/>
          </w:tcPr>
          <w:p w14:paraId="1AC1E358" w14:textId="77777777" w:rsidR="00385E1E" w:rsidRDefault="00385E1E" w:rsidP="00713EBD">
            <w:pPr>
              <w:widowControl w:val="0"/>
              <w:pBdr>
                <w:top w:val="nil"/>
                <w:left w:val="nil"/>
                <w:bottom w:val="nil"/>
                <w:right w:val="nil"/>
                <w:between w:val="nil"/>
              </w:pBdr>
              <w:spacing w:after="0" w:line="240" w:lineRule="auto"/>
              <w:rPr>
                <w:sz w:val="24"/>
                <w:szCs w:val="24"/>
              </w:rPr>
            </w:pPr>
          </w:p>
        </w:tc>
        <w:tc>
          <w:tcPr>
            <w:tcW w:w="1549" w:type="dxa"/>
            <w:vMerge/>
            <w:tcBorders>
              <w:top w:val="single" w:sz="4" w:space="0" w:color="000000"/>
              <w:left w:val="single" w:sz="4" w:space="0" w:color="000000"/>
              <w:right w:val="single" w:sz="4" w:space="0" w:color="000000"/>
            </w:tcBorders>
            <w:shd w:val="clear" w:color="auto" w:fill="auto"/>
            <w:vAlign w:val="center"/>
          </w:tcPr>
          <w:p w14:paraId="1AC1E359" w14:textId="77777777" w:rsidR="00385E1E" w:rsidRDefault="00385E1E" w:rsidP="00713EBD">
            <w:pPr>
              <w:widowControl w:val="0"/>
              <w:pBdr>
                <w:top w:val="nil"/>
                <w:left w:val="nil"/>
                <w:bottom w:val="nil"/>
                <w:right w:val="nil"/>
                <w:between w:val="nil"/>
              </w:pBdr>
              <w:spacing w:after="0" w:line="240" w:lineRule="auto"/>
              <w:rPr>
                <w:sz w:val="24"/>
                <w:szCs w:val="24"/>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E35A" w14:textId="77777777" w:rsidR="00385E1E" w:rsidRDefault="007F3A10" w:rsidP="00713EBD">
            <w:pPr>
              <w:spacing w:after="0" w:line="240" w:lineRule="auto"/>
              <w:jc w:val="center"/>
              <w:rPr>
                <w:sz w:val="24"/>
                <w:szCs w:val="24"/>
              </w:rPr>
            </w:pPr>
            <w:r>
              <w:rPr>
                <w:b/>
                <w:sz w:val="24"/>
                <w:szCs w:val="24"/>
              </w:rPr>
              <w:t>Remoto Síncrono</w:t>
            </w:r>
          </w:p>
        </w:tc>
        <w:tc>
          <w:tcPr>
            <w:tcW w:w="2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E35B" w14:textId="40F765E3" w:rsidR="00385E1E" w:rsidRDefault="00FE4171" w:rsidP="00713EBD">
            <w:pPr>
              <w:spacing w:after="0" w:line="240" w:lineRule="auto"/>
              <w:jc w:val="center"/>
              <w:rPr>
                <w:sz w:val="24"/>
                <w:szCs w:val="24"/>
              </w:rPr>
            </w:pPr>
            <w:r>
              <w:rPr>
                <w:b/>
                <w:sz w:val="24"/>
                <w:szCs w:val="24"/>
              </w:rPr>
              <w:t>0</w:t>
            </w:r>
          </w:p>
        </w:tc>
      </w:tr>
      <w:tr w:rsidR="00385E1E" w14:paraId="1AC1E360" w14:textId="77777777">
        <w:trPr>
          <w:trHeight w:val="556"/>
        </w:trPr>
        <w:tc>
          <w:tcPr>
            <w:tcW w:w="2737" w:type="dxa"/>
            <w:tcBorders>
              <w:top w:val="single" w:sz="4" w:space="0" w:color="000000"/>
              <w:left w:val="single" w:sz="4" w:space="0" w:color="000000"/>
              <w:bottom w:val="single" w:sz="4" w:space="0" w:color="000000"/>
            </w:tcBorders>
            <w:shd w:val="clear" w:color="auto" w:fill="auto"/>
            <w:vAlign w:val="center"/>
          </w:tcPr>
          <w:p w14:paraId="1AC1E35D" w14:textId="77777777" w:rsidR="00385E1E" w:rsidRDefault="007F3A10" w:rsidP="00713EBD">
            <w:pPr>
              <w:spacing w:after="0" w:line="240" w:lineRule="auto"/>
              <w:rPr>
                <w:sz w:val="24"/>
                <w:szCs w:val="24"/>
              </w:rPr>
            </w:pPr>
            <w:r>
              <w:rPr>
                <w:b/>
                <w:sz w:val="24"/>
                <w:szCs w:val="24"/>
              </w:rPr>
              <w:t>Professor responsável</w:t>
            </w:r>
          </w:p>
        </w:tc>
        <w:tc>
          <w:tcPr>
            <w:tcW w:w="7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1E35F" w14:textId="04EF50A0" w:rsidR="00385E1E" w:rsidRDefault="007F3A10" w:rsidP="00713EBD">
            <w:pPr>
              <w:spacing w:after="0" w:line="240" w:lineRule="auto"/>
              <w:jc w:val="center"/>
              <w:rPr>
                <w:b/>
                <w:sz w:val="24"/>
                <w:szCs w:val="24"/>
              </w:rPr>
            </w:pPr>
            <w:r>
              <w:rPr>
                <w:b/>
                <w:sz w:val="24"/>
                <w:szCs w:val="24"/>
              </w:rPr>
              <w:t>Fabiana Moreira, Teane Milagres Augusto Gomes</w:t>
            </w:r>
          </w:p>
        </w:tc>
      </w:tr>
      <w:tr w:rsidR="00385E1E" w14:paraId="1AC1E363" w14:textId="77777777">
        <w:trPr>
          <w:trHeight w:val="556"/>
        </w:trPr>
        <w:tc>
          <w:tcPr>
            <w:tcW w:w="2737" w:type="dxa"/>
            <w:tcBorders>
              <w:top w:val="single" w:sz="4" w:space="0" w:color="000000"/>
              <w:left w:val="single" w:sz="4" w:space="0" w:color="000000"/>
              <w:bottom w:val="single" w:sz="4" w:space="0" w:color="000000"/>
            </w:tcBorders>
            <w:shd w:val="clear" w:color="auto" w:fill="auto"/>
            <w:vAlign w:val="center"/>
          </w:tcPr>
          <w:p w14:paraId="1AC1E361" w14:textId="77777777" w:rsidR="00385E1E" w:rsidRDefault="007F3A10" w:rsidP="00713EBD">
            <w:pPr>
              <w:spacing w:after="0" w:line="240" w:lineRule="auto"/>
              <w:rPr>
                <w:sz w:val="24"/>
                <w:szCs w:val="24"/>
              </w:rPr>
            </w:pPr>
            <w:r>
              <w:rPr>
                <w:b/>
                <w:sz w:val="24"/>
                <w:szCs w:val="24"/>
              </w:rPr>
              <w:t>Professores colaboradores</w:t>
            </w:r>
          </w:p>
        </w:tc>
        <w:tc>
          <w:tcPr>
            <w:tcW w:w="73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1E362" w14:textId="77777777" w:rsidR="00385E1E" w:rsidRDefault="00385E1E" w:rsidP="00713EBD">
            <w:pPr>
              <w:spacing w:after="0" w:line="240" w:lineRule="auto"/>
              <w:jc w:val="center"/>
              <w:rPr>
                <w:sz w:val="24"/>
                <w:szCs w:val="24"/>
              </w:rPr>
            </w:pPr>
          </w:p>
        </w:tc>
      </w:tr>
      <w:tr w:rsidR="00385E1E" w14:paraId="1AC1E365" w14:textId="77777777">
        <w:trPr>
          <w:trHeight w:val="23"/>
        </w:trPr>
        <w:tc>
          <w:tcPr>
            <w:tcW w:w="1011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14:paraId="1AC1E364" w14:textId="77777777" w:rsidR="00385E1E" w:rsidRDefault="007F3A10" w:rsidP="00713EBD">
            <w:pPr>
              <w:spacing w:after="0" w:line="240" w:lineRule="auto"/>
              <w:jc w:val="center"/>
              <w:rPr>
                <w:sz w:val="24"/>
                <w:szCs w:val="24"/>
              </w:rPr>
            </w:pPr>
            <w:r>
              <w:rPr>
                <w:b/>
                <w:sz w:val="24"/>
                <w:szCs w:val="24"/>
              </w:rPr>
              <w:t>EMENTA</w:t>
            </w:r>
            <w:r>
              <w:rPr>
                <w:b/>
                <w:color w:val="FF0000"/>
                <w:sz w:val="24"/>
                <w:szCs w:val="24"/>
              </w:rPr>
              <w:t xml:space="preserve"> </w:t>
            </w:r>
          </w:p>
        </w:tc>
      </w:tr>
      <w:tr w:rsidR="00385E1E" w14:paraId="1AC1E367" w14:textId="77777777">
        <w:trPr>
          <w:trHeight w:val="23"/>
        </w:trPr>
        <w:tc>
          <w:tcPr>
            <w:tcW w:w="101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C1E366" w14:textId="6DE31970" w:rsidR="00FE4171" w:rsidRDefault="00FE4171" w:rsidP="00713EBD">
            <w:pPr>
              <w:spacing w:after="0" w:line="240" w:lineRule="auto"/>
              <w:jc w:val="both"/>
              <w:rPr>
                <w:sz w:val="24"/>
                <w:szCs w:val="24"/>
              </w:rPr>
            </w:pPr>
            <w:r w:rsidRPr="00FE4171">
              <w:rPr>
                <w:sz w:val="24"/>
                <w:szCs w:val="24"/>
              </w:rPr>
              <w:t>Preparação de aulas (plano de ensino e disciplinas com foco em habilidades e competências). Técnicas de Metodologias ativas (aula expositiva dialogada, aula invertida, gamificação, seminário, tempestade cerebral). Técnicas de Metodologias ativas (Aprendizagem baseada em problemas, aprendizagem baseada em projetos, tribunal do júri, solução de problemas, portfólio, estudo de caso, estudo dirigido, fórum, mapa conceitual). Processos de avaliação do ensino-aprendizagem. Avaliações pela prática didática dos discentes ministrando aulas.</w:t>
            </w:r>
          </w:p>
        </w:tc>
      </w:tr>
      <w:tr w:rsidR="00385E1E" w14:paraId="1AC1E369" w14:textId="77777777">
        <w:trPr>
          <w:trHeight w:val="23"/>
        </w:trPr>
        <w:tc>
          <w:tcPr>
            <w:tcW w:w="1011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14:paraId="1AC1E368" w14:textId="77777777" w:rsidR="00385E1E" w:rsidRDefault="007F3A10" w:rsidP="00713EBD">
            <w:pPr>
              <w:spacing w:after="0" w:line="240" w:lineRule="auto"/>
              <w:jc w:val="center"/>
              <w:rPr>
                <w:sz w:val="24"/>
                <w:szCs w:val="24"/>
              </w:rPr>
            </w:pPr>
            <w:r>
              <w:rPr>
                <w:b/>
                <w:sz w:val="24"/>
                <w:szCs w:val="24"/>
              </w:rPr>
              <w:t>BIBLIOGRAFIA BÁSICA</w:t>
            </w:r>
            <w:r>
              <w:rPr>
                <w:b/>
                <w:color w:val="FF0000"/>
                <w:sz w:val="24"/>
                <w:szCs w:val="24"/>
              </w:rPr>
              <w:t xml:space="preserve"> </w:t>
            </w:r>
          </w:p>
        </w:tc>
      </w:tr>
      <w:tr w:rsidR="00385E1E" w14:paraId="1AC1E371" w14:textId="77777777">
        <w:trPr>
          <w:trHeight w:val="23"/>
        </w:trPr>
        <w:tc>
          <w:tcPr>
            <w:tcW w:w="101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544F46" w14:textId="6C257759" w:rsidR="002A73EA" w:rsidRPr="002A73EA" w:rsidRDefault="002A73EA" w:rsidP="00713EBD">
            <w:pPr>
              <w:spacing w:after="0" w:line="240" w:lineRule="auto"/>
              <w:jc w:val="both"/>
              <w:rPr>
                <w:sz w:val="24"/>
                <w:szCs w:val="24"/>
              </w:rPr>
            </w:pPr>
            <w:r w:rsidRPr="002A73EA">
              <w:rPr>
                <w:sz w:val="24"/>
                <w:szCs w:val="24"/>
              </w:rPr>
              <w:t xml:space="preserve">CONSELHO FEDERAL MEDICINA VETERINÁRIA. </w:t>
            </w:r>
            <w:r w:rsidRPr="001B1CD2">
              <w:rPr>
                <w:b/>
                <w:bCs/>
                <w:sz w:val="24"/>
                <w:szCs w:val="24"/>
              </w:rPr>
              <w:t>Estratégias de Ensino-Aprendizagem para Desenvolvimento de competências humanísticas</w:t>
            </w:r>
            <w:r w:rsidR="001B1CD2">
              <w:rPr>
                <w:sz w:val="24"/>
                <w:szCs w:val="24"/>
              </w:rPr>
              <w:t>.</w:t>
            </w:r>
            <w:r w:rsidRPr="002A73EA">
              <w:rPr>
                <w:sz w:val="24"/>
                <w:szCs w:val="24"/>
              </w:rPr>
              <w:t xml:space="preserve"> CFMV, 2012. 152p. Disponível em: </w:t>
            </w:r>
            <w:hyperlink r:id="rId7" w:anchor="48" w:history="1">
              <w:r w:rsidR="001B1CD2" w:rsidRPr="005864AA">
                <w:rPr>
                  <w:rStyle w:val="Hyperlink"/>
                  <w:sz w:val="24"/>
                  <w:szCs w:val="24"/>
                </w:rPr>
                <w:t>https://www.cfmv.gov.br/estrategias-de-ensino-aprendizagem-para-desenvolvimento-das-competencias-humanisticas/comunicacao/publicacoes/2020/08/03/#48</w:t>
              </w:r>
            </w:hyperlink>
            <w:r w:rsidR="001B1CD2">
              <w:rPr>
                <w:sz w:val="24"/>
                <w:szCs w:val="24"/>
              </w:rPr>
              <w:t xml:space="preserve"> </w:t>
            </w:r>
          </w:p>
          <w:p w14:paraId="7C7204DF" w14:textId="17AD7097" w:rsidR="002A73EA" w:rsidRPr="002A73EA" w:rsidRDefault="002A73EA" w:rsidP="00713EBD">
            <w:pPr>
              <w:spacing w:after="0" w:line="240" w:lineRule="auto"/>
              <w:jc w:val="both"/>
              <w:rPr>
                <w:sz w:val="24"/>
                <w:szCs w:val="24"/>
              </w:rPr>
            </w:pPr>
            <w:r w:rsidRPr="002A73EA">
              <w:rPr>
                <w:sz w:val="24"/>
                <w:szCs w:val="24"/>
              </w:rPr>
              <w:t xml:space="preserve">Journal of Veterinary Medical Education. Disponível em: </w:t>
            </w:r>
            <w:hyperlink r:id="rId8" w:history="1">
              <w:r w:rsidRPr="005864AA">
                <w:rPr>
                  <w:rStyle w:val="Hyperlink"/>
                  <w:sz w:val="24"/>
                  <w:szCs w:val="24"/>
                </w:rPr>
                <w:t>https://jvme.utpjournals.press/loi/jvme</w:t>
              </w:r>
            </w:hyperlink>
            <w:r>
              <w:rPr>
                <w:sz w:val="24"/>
                <w:szCs w:val="24"/>
              </w:rPr>
              <w:t xml:space="preserve"> </w:t>
            </w:r>
          </w:p>
          <w:p w14:paraId="3D31D40D" w14:textId="77777777" w:rsidR="002A73EA" w:rsidRPr="002A73EA" w:rsidRDefault="002A73EA" w:rsidP="00713EBD">
            <w:pPr>
              <w:spacing w:after="0" w:line="240" w:lineRule="auto"/>
              <w:jc w:val="both"/>
              <w:rPr>
                <w:sz w:val="24"/>
                <w:szCs w:val="24"/>
              </w:rPr>
            </w:pPr>
          </w:p>
          <w:p w14:paraId="3BA0C613" w14:textId="37182DF7" w:rsidR="002A73EA" w:rsidRPr="002A73EA" w:rsidRDefault="002A73EA" w:rsidP="00713EBD">
            <w:pPr>
              <w:spacing w:after="0" w:line="240" w:lineRule="auto"/>
              <w:jc w:val="both"/>
              <w:rPr>
                <w:sz w:val="24"/>
                <w:szCs w:val="24"/>
              </w:rPr>
            </w:pPr>
            <w:r w:rsidRPr="002A73EA">
              <w:rPr>
                <w:sz w:val="24"/>
                <w:szCs w:val="24"/>
              </w:rPr>
              <w:t xml:space="preserve">MASETTO, M.T. </w:t>
            </w:r>
            <w:r w:rsidRPr="001B1CD2">
              <w:rPr>
                <w:b/>
                <w:bCs/>
                <w:sz w:val="24"/>
                <w:szCs w:val="24"/>
              </w:rPr>
              <w:t>Docência universitária: repensando a aula</w:t>
            </w:r>
            <w:r w:rsidRPr="002A73EA">
              <w:rPr>
                <w:sz w:val="24"/>
                <w:szCs w:val="24"/>
              </w:rPr>
              <w:t>. In: TEODORO, Antônio. Ensinar e aprender no ensino superior: por uma epistemologia pela curiosidade da formação universitária. Ed. Cortez: Mackenzie, 2003.</w:t>
            </w:r>
          </w:p>
          <w:p w14:paraId="21DB8818" w14:textId="77777777" w:rsidR="002A73EA" w:rsidRPr="002A73EA" w:rsidRDefault="002A73EA" w:rsidP="00713EBD">
            <w:pPr>
              <w:spacing w:after="0" w:line="240" w:lineRule="auto"/>
              <w:jc w:val="both"/>
              <w:rPr>
                <w:sz w:val="24"/>
                <w:szCs w:val="24"/>
              </w:rPr>
            </w:pPr>
          </w:p>
          <w:p w14:paraId="7E00B53D" w14:textId="2B96E1F7" w:rsidR="002A73EA" w:rsidRPr="002A73EA" w:rsidRDefault="002A73EA" w:rsidP="00713EBD">
            <w:pPr>
              <w:spacing w:after="0" w:line="240" w:lineRule="auto"/>
              <w:jc w:val="both"/>
              <w:rPr>
                <w:sz w:val="24"/>
                <w:szCs w:val="24"/>
              </w:rPr>
            </w:pPr>
            <w:r w:rsidRPr="002A73EA">
              <w:rPr>
                <w:sz w:val="24"/>
                <w:szCs w:val="24"/>
              </w:rPr>
              <w:t xml:space="preserve">MASETTO, M.T.; DE ALMEIDA, M.E.B.; ALONSO, M.; RODRIGUES, R.C.; DUARTE, R.A.A. </w:t>
            </w:r>
            <w:r w:rsidRPr="001B1CD2">
              <w:rPr>
                <w:b/>
                <w:bCs/>
                <w:sz w:val="24"/>
                <w:szCs w:val="24"/>
              </w:rPr>
              <w:t>Formação de Professores em Ambiente Digital: uma Experiência Interdisciplinar. Informática na educação: teoria &amp; prática</w:t>
            </w:r>
            <w:r w:rsidR="001B1CD2">
              <w:rPr>
                <w:b/>
                <w:bCs/>
                <w:sz w:val="24"/>
                <w:szCs w:val="24"/>
              </w:rPr>
              <w:t>.</w:t>
            </w:r>
            <w:r w:rsidRPr="002A73EA">
              <w:rPr>
                <w:sz w:val="24"/>
                <w:szCs w:val="24"/>
              </w:rPr>
              <w:t xml:space="preserve"> Porto Alegre, v.8, n.2, 2005. DOI: 10.22456/1982-1654.8174. Disponível em: </w:t>
            </w:r>
            <w:hyperlink r:id="rId9" w:history="1">
              <w:r w:rsidR="001B1CD2" w:rsidRPr="005864AA">
                <w:rPr>
                  <w:rStyle w:val="Hyperlink"/>
                  <w:sz w:val="24"/>
                  <w:szCs w:val="24"/>
                </w:rPr>
                <w:t>https://seer.ufrgs.br/index.php/InfEducTeoriaPratica/article/view/8174</w:t>
              </w:r>
            </w:hyperlink>
            <w:r w:rsidR="001B1CD2">
              <w:rPr>
                <w:sz w:val="24"/>
                <w:szCs w:val="24"/>
              </w:rPr>
              <w:t>.</w:t>
            </w:r>
            <w:r w:rsidRPr="002A73EA">
              <w:rPr>
                <w:sz w:val="24"/>
                <w:szCs w:val="24"/>
              </w:rPr>
              <w:t xml:space="preserve"> Acesso em: 1 dez. 2022. </w:t>
            </w:r>
          </w:p>
          <w:p w14:paraId="7C35F206" w14:textId="77777777" w:rsidR="002A73EA" w:rsidRPr="002A73EA" w:rsidRDefault="002A73EA" w:rsidP="00713EBD">
            <w:pPr>
              <w:spacing w:after="0" w:line="240" w:lineRule="auto"/>
              <w:jc w:val="both"/>
              <w:rPr>
                <w:sz w:val="24"/>
                <w:szCs w:val="24"/>
              </w:rPr>
            </w:pPr>
          </w:p>
          <w:p w14:paraId="3C92BC9A" w14:textId="5FDF5B1F" w:rsidR="002A73EA" w:rsidRPr="002A73EA" w:rsidRDefault="002A73EA" w:rsidP="00713EBD">
            <w:pPr>
              <w:spacing w:after="0" w:line="240" w:lineRule="auto"/>
              <w:jc w:val="both"/>
              <w:rPr>
                <w:sz w:val="24"/>
                <w:szCs w:val="24"/>
              </w:rPr>
            </w:pPr>
            <w:r w:rsidRPr="002A73EA">
              <w:rPr>
                <w:sz w:val="24"/>
                <w:szCs w:val="24"/>
              </w:rPr>
              <w:t xml:space="preserve">MOURA, D.M. </w:t>
            </w:r>
            <w:r w:rsidRPr="001B1CD2">
              <w:rPr>
                <w:b/>
                <w:bCs/>
                <w:sz w:val="24"/>
                <w:szCs w:val="24"/>
              </w:rPr>
              <w:t>Trabalho e formação docente na educação profissional</w:t>
            </w:r>
            <w:r w:rsidRPr="002A73EA">
              <w:rPr>
                <w:sz w:val="24"/>
                <w:szCs w:val="24"/>
              </w:rPr>
              <w:t xml:space="preserve">. Curitiba: Instituto Federal do Paraná, 2014. 112 p. (Coleção Formação Pedagógica; v. 3. Disponível em: </w:t>
            </w:r>
            <w:hyperlink r:id="rId10" w:history="1">
              <w:r w:rsidR="001B1CD2" w:rsidRPr="005864AA">
                <w:rPr>
                  <w:rStyle w:val="Hyperlink"/>
                  <w:sz w:val="24"/>
                  <w:szCs w:val="24"/>
                </w:rPr>
                <w:t>https://curitiba.ifpr.edu.br/wp-content/uploads/2016/05/Trabalho-e-Forma%C3%A7%C3%A3o-Docente.pdf</w:t>
              </w:r>
            </w:hyperlink>
            <w:r w:rsidR="001B1CD2">
              <w:rPr>
                <w:sz w:val="24"/>
                <w:szCs w:val="24"/>
              </w:rPr>
              <w:t>.</w:t>
            </w:r>
            <w:r w:rsidRPr="002A73EA">
              <w:rPr>
                <w:sz w:val="24"/>
                <w:szCs w:val="24"/>
              </w:rPr>
              <w:t xml:space="preserve"> Acesso em: 05 de dez 2022.</w:t>
            </w:r>
          </w:p>
          <w:p w14:paraId="645A337D" w14:textId="77777777" w:rsidR="002A73EA" w:rsidRPr="002A73EA" w:rsidRDefault="002A73EA" w:rsidP="00713EBD">
            <w:pPr>
              <w:spacing w:after="0" w:line="240" w:lineRule="auto"/>
              <w:jc w:val="both"/>
              <w:rPr>
                <w:sz w:val="24"/>
                <w:szCs w:val="24"/>
              </w:rPr>
            </w:pPr>
          </w:p>
          <w:p w14:paraId="1AC1E370" w14:textId="0B6AEFE0" w:rsidR="00385E1E" w:rsidRDefault="002A73EA" w:rsidP="00713EBD">
            <w:pPr>
              <w:spacing w:after="0" w:line="240" w:lineRule="auto"/>
              <w:jc w:val="both"/>
              <w:rPr>
                <w:sz w:val="24"/>
                <w:szCs w:val="24"/>
              </w:rPr>
            </w:pPr>
            <w:r w:rsidRPr="002A73EA">
              <w:rPr>
                <w:sz w:val="24"/>
                <w:szCs w:val="24"/>
              </w:rPr>
              <w:lastRenderedPageBreak/>
              <w:t xml:space="preserve">WACHOWICZ, L.A. </w:t>
            </w:r>
            <w:r w:rsidRPr="001B1CD2">
              <w:rPr>
                <w:b/>
                <w:bCs/>
                <w:sz w:val="24"/>
                <w:szCs w:val="24"/>
              </w:rPr>
              <w:t>Avaliação da aprendizagem profissional</w:t>
            </w:r>
            <w:r w:rsidRPr="002A73EA">
              <w:rPr>
                <w:sz w:val="24"/>
                <w:szCs w:val="24"/>
              </w:rPr>
              <w:t xml:space="preserve">. Curitiba: Instituto Federal do Paraná, 2014. 139 p. (Coleção Formação Pedagógica; v.9). Disponível em: </w:t>
            </w:r>
            <w:hyperlink r:id="rId11" w:history="1">
              <w:r w:rsidR="001B1CD2" w:rsidRPr="005864AA">
                <w:rPr>
                  <w:rStyle w:val="Hyperlink"/>
                  <w:sz w:val="24"/>
                  <w:szCs w:val="24"/>
                </w:rPr>
                <w:t>https://curitiba.ifpr.edu.br/wp-content/uploads/2016/05/Avalia%C3%A7%C3%A3o-da-aprendizagem-profissional.pdf</w:t>
              </w:r>
            </w:hyperlink>
            <w:r w:rsidR="001B1CD2">
              <w:rPr>
                <w:sz w:val="24"/>
                <w:szCs w:val="24"/>
              </w:rPr>
              <w:t>.</w:t>
            </w:r>
            <w:r w:rsidRPr="002A73EA">
              <w:rPr>
                <w:sz w:val="24"/>
                <w:szCs w:val="24"/>
              </w:rPr>
              <w:t xml:space="preserve"> Acesso em: 05 de dez 2022.</w:t>
            </w:r>
          </w:p>
        </w:tc>
      </w:tr>
    </w:tbl>
    <w:p w14:paraId="1AC1E372" w14:textId="77777777" w:rsidR="00385E1E" w:rsidRDefault="00385E1E" w:rsidP="00713EBD">
      <w:pPr>
        <w:spacing w:after="0" w:line="240" w:lineRule="auto"/>
        <w:rPr>
          <w:sz w:val="24"/>
          <w:szCs w:val="24"/>
        </w:rPr>
      </w:pPr>
    </w:p>
    <w:sectPr w:rsidR="00385E1E">
      <w:headerReference w:type="default" r:id="rId12"/>
      <w:footerReference w:type="default" r:id="rId13"/>
      <w:headerReference w:type="first" r:id="rId14"/>
      <w:footerReference w:type="first" r:id="rId15"/>
      <w:pgSz w:w="11906" w:h="16838"/>
      <w:pgMar w:top="2552" w:right="85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E37B" w14:textId="77777777" w:rsidR="00DD7DC4" w:rsidRDefault="007F3A10">
      <w:pPr>
        <w:spacing w:after="0" w:line="240" w:lineRule="auto"/>
      </w:pPr>
      <w:r>
        <w:separator/>
      </w:r>
    </w:p>
  </w:endnote>
  <w:endnote w:type="continuationSeparator" w:id="0">
    <w:p w14:paraId="1AC1E37D" w14:textId="77777777" w:rsidR="00DD7DC4" w:rsidRDefault="007F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roman"/>
    <w:notTrueType/>
    <w:pitch w:val="default"/>
  </w:font>
  <w:font w:name="Arial-Bold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E374" w14:textId="77777777" w:rsidR="00385E1E" w:rsidRDefault="007F3A10">
    <w:pPr>
      <w:pBdr>
        <w:top w:val="nil"/>
        <w:left w:val="nil"/>
        <w:bottom w:val="nil"/>
        <w:right w:val="nil"/>
        <w:between w:val="nil"/>
      </w:pBdr>
      <w:spacing w:after="0" w:line="240" w:lineRule="auto"/>
      <w:rPr>
        <w:color w:val="000000"/>
      </w:rPr>
    </w:pPr>
    <w:r>
      <w:rPr>
        <w:noProof/>
      </w:rPr>
      <w:drawing>
        <wp:anchor distT="0" distB="0" distL="0" distR="0" simplePos="0" relativeHeight="251659264" behindDoc="1" locked="0" layoutInCell="1" hidden="0" allowOverlap="1" wp14:anchorId="1AC1E379" wp14:editId="1AC1E37A">
          <wp:simplePos x="0" y="0"/>
          <wp:positionH relativeFrom="column">
            <wp:posOffset>-1089659</wp:posOffset>
          </wp:positionH>
          <wp:positionV relativeFrom="paragraph">
            <wp:posOffset>-352424</wp:posOffset>
          </wp:positionV>
          <wp:extent cx="7559675" cy="94615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8" t="-66" r="-8" b="-65"/>
                  <a:stretch>
                    <a:fillRect/>
                  </a:stretch>
                </pic:blipFill>
                <pic:spPr>
                  <a:xfrm>
                    <a:off x="0" y="0"/>
                    <a:ext cx="7559675" cy="9461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E376" w14:textId="77777777" w:rsidR="00385E1E" w:rsidRDefault="00385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E377" w14:textId="77777777" w:rsidR="00DD7DC4" w:rsidRDefault="007F3A10">
      <w:pPr>
        <w:spacing w:after="0" w:line="240" w:lineRule="auto"/>
      </w:pPr>
      <w:r>
        <w:separator/>
      </w:r>
    </w:p>
  </w:footnote>
  <w:footnote w:type="continuationSeparator" w:id="0">
    <w:p w14:paraId="1AC1E379" w14:textId="77777777" w:rsidR="00DD7DC4" w:rsidRDefault="007F3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E373" w14:textId="77777777" w:rsidR="00385E1E" w:rsidRDefault="007F3A10">
    <w:pPr>
      <w:pBdr>
        <w:top w:val="nil"/>
        <w:left w:val="nil"/>
        <w:bottom w:val="nil"/>
        <w:right w:val="nil"/>
        <w:between w:val="nil"/>
      </w:pBdr>
      <w:spacing w:after="0" w:line="240" w:lineRule="auto"/>
      <w:rPr>
        <w:color w:val="000000"/>
      </w:rPr>
    </w:pPr>
    <w:r>
      <w:rPr>
        <w:noProof/>
      </w:rPr>
      <w:drawing>
        <wp:anchor distT="0" distB="0" distL="114935" distR="114935" simplePos="0" relativeHeight="251658240" behindDoc="0" locked="0" layoutInCell="1" hidden="0" allowOverlap="1" wp14:anchorId="1AC1E377" wp14:editId="1AC1E378">
          <wp:simplePos x="0" y="0"/>
          <wp:positionH relativeFrom="column">
            <wp:posOffset>-1080134</wp:posOffset>
          </wp:positionH>
          <wp:positionV relativeFrom="paragraph">
            <wp:posOffset>-363854</wp:posOffset>
          </wp:positionV>
          <wp:extent cx="7559675" cy="129476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8" t="-47" r="-8" b="-47"/>
                  <a:stretch>
                    <a:fillRect/>
                  </a:stretch>
                </pic:blipFill>
                <pic:spPr>
                  <a:xfrm>
                    <a:off x="0" y="0"/>
                    <a:ext cx="7559675" cy="12947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E375" w14:textId="77777777" w:rsidR="00385E1E" w:rsidRDefault="00385E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1E"/>
    <w:rsid w:val="001B1CD2"/>
    <w:rsid w:val="002A73EA"/>
    <w:rsid w:val="00385E1E"/>
    <w:rsid w:val="00713EBD"/>
    <w:rsid w:val="007F3A10"/>
    <w:rsid w:val="008A7960"/>
    <w:rsid w:val="00AB09B3"/>
    <w:rsid w:val="00C2212A"/>
    <w:rsid w:val="00C547FC"/>
    <w:rsid w:val="00DD7DC4"/>
    <w:rsid w:val="00FE41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E344"/>
  <w15:docId w15:val="{650E4DB5-5945-4969-A7F8-A1EA2DE9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CorpodetextoChar">
    <w:name w:val="Corpo de texto Char"/>
    <w:rPr>
      <w:rFonts w:ascii="Times New Roman" w:eastAsia="Lucida Sans Unicode" w:hAnsi="Times New Roman" w:cs="Times New Roman"/>
      <w:kern w:val="2"/>
      <w:sz w:val="24"/>
      <w:szCs w:val="24"/>
    </w:rPr>
  </w:style>
  <w:style w:type="character" w:customStyle="1" w:styleId="RecuodecorpodetextoChar">
    <w:name w:val="Recuo de corpo de texto Char"/>
    <w:rPr>
      <w:rFonts w:ascii="Times New Roman" w:eastAsia="Lucida Sans Unicode" w:hAnsi="Times New Roman" w:cs="Times New Roman"/>
      <w:kern w:val="2"/>
      <w:sz w:val="24"/>
      <w:szCs w:val="24"/>
    </w:rPr>
  </w:style>
  <w:style w:type="character" w:customStyle="1" w:styleId="TextodebaloChar">
    <w:name w:val="Texto de balão Char"/>
    <w:rPr>
      <w:rFonts w:ascii="Segoe UI" w:hAnsi="Segoe UI" w:cs="Segoe UI"/>
      <w:sz w:val="18"/>
      <w:szCs w:val="18"/>
    </w:rPr>
  </w:style>
  <w:style w:type="character" w:customStyle="1" w:styleId="apple-converted-space">
    <w:name w:val="apple-converted-space"/>
  </w:style>
  <w:style w:type="character" w:styleId="Hyperlink">
    <w:name w:val="Hyperlink"/>
    <w:rPr>
      <w:color w:val="0000FF"/>
      <w:u w:val="single"/>
    </w:rPr>
  </w:style>
  <w:style w:type="character" w:styleId="Forte">
    <w:name w:val="Strong"/>
    <w:qFormat/>
    <w:rPr>
      <w:b/>
      <w:bCs/>
    </w:rPr>
  </w:style>
  <w:style w:type="paragraph" w:customStyle="1" w:styleId="Ttulo10">
    <w:name w:val="Título1"/>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widowControl w:val="0"/>
      <w:spacing w:after="120" w:line="240" w:lineRule="auto"/>
    </w:pPr>
    <w:rPr>
      <w:rFonts w:ascii="Times New Roman" w:eastAsia="Lucida Sans Unicode" w:hAnsi="Times New Roman"/>
      <w:kern w:val="2"/>
      <w:sz w:val="24"/>
      <w:szCs w:val="24"/>
      <w:lang w:val="x-none"/>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spacing w:after="0" w:line="240" w:lineRule="auto"/>
    </w:pPr>
  </w:style>
  <w:style w:type="paragraph" w:styleId="Rodap">
    <w:name w:val="footer"/>
    <w:basedOn w:val="Normal"/>
    <w:pPr>
      <w:spacing w:after="0" w:line="240" w:lineRule="auto"/>
    </w:pPr>
  </w:style>
  <w:style w:type="paragraph" w:styleId="Recuodecorpodetexto">
    <w:name w:val="Body Text Indent"/>
    <w:basedOn w:val="Normal"/>
    <w:pPr>
      <w:widowControl w:val="0"/>
      <w:spacing w:after="0" w:line="240" w:lineRule="auto"/>
      <w:ind w:firstLine="1560"/>
      <w:jc w:val="both"/>
    </w:pPr>
    <w:rPr>
      <w:rFonts w:ascii="Times New Roman" w:eastAsia="Lucida Sans Unicode" w:hAnsi="Times New Roman"/>
      <w:kern w:val="2"/>
      <w:sz w:val="24"/>
      <w:szCs w:val="24"/>
      <w:lang w:val="x-none"/>
    </w:rPr>
  </w:style>
  <w:style w:type="paragraph" w:styleId="Textodebalo">
    <w:name w:val="Balloon Text"/>
    <w:basedOn w:val="Normal"/>
    <w:pPr>
      <w:spacing w:after="0" w:line="240" w:lineRule="auto"/>
    </w:pPr>
    <w:rPr>
      <w:rFonts w:ascii="Segoe UI" w:hAnsi="Segoe UI" w:cs="Segoe UI"/>
      <w:sz w:val="18"/>
      <w:szCs w:val="18"/>
      <w:lang w:val="x-none"/>
    </w:rPr>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character" w:customStyle="1" w:styleId="fontstyle01">
    <w:name w:val="fontstyle01"/>
    <w:basedOn w:val="Fontepargpadro"/>
    <w:rsid w:val="00EC169A"/>
    <w:rPr>
      <w:rFonts w:ascii="ArialMT" w:hAnsi="ArialMT" w:hint="default"/>
      <w:b w:val="0"/>
      <w:bCs w:val="0"/>
      <w:i w:val="0"/>
      <w:iCs w:val="0"/>
      <w:color w:val="000000"/>
      <w:sz w:val="24"/>
      <w:szCs w:val="24"/>
    </w:rPr>
  </w:style>
  <w:style w:type="character" w:customStyle="1" w:styleId="fontstyle21">
    <w:name w:val="fontstyle21"/>
    <w:basedOn w:val="Fontepargpadro"/>
    <w:rsid w:val="00C94F04"/>
    <w:rPr>
      <w:rFonts w:ascii="Arial-BoldMT" w:hAnsi="Arial-BoldMT" w:hint="default"/>
      <w:b/>
      <w:bCs/>
      <w:i w:val="0"/>
      <w:iCs w:val="0"/>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MenoPendente">
    <w:name w:val="Unresolved Mention"/>
    <w:basedOn w:val="Fontepargpadro"/>
    <w:uiPriority w:val="99"/>
    <w:semiHidden/>
    <w:unhideWhenUsed/>
    <w:rsid w:val="002A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vme.utpjournals.press/loi/jv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fmv.gov.br/estrategias-de-ensino-aprendizagem-para-desenvolvimento-das-competencias-humanisticas/comunicacao/publicacoes/2020/08/03/"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uritiba.ifpr.edu.br/wp-content/uploads/2016/05/Avalia%C3%A7%C3%A3o-da-aprendizagem-profissional.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uritiba.ifpr.edu.br/wp-content/uploads/2016/05/Trabalho-e-Forma%C3%A7%C3%A3o-Docente.pdf" TargetMode="External"/><Relationship Id="rId4" Type="http://schemas.openxmlformats.org/officeDocument/2006/relationships/webSettings" Target="webSettings.xml"/><Relationship Id="rId9" Type="http://schemas.openxmlformats.org/officeDocument/2006/relationships/hyperlink" Target="https://seer.ufrgs.br/index.php/InfEducTeoriaPratica/article/view/8174"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MxtqRHuw/kPMupUfvIO5pQ3oSA==">AMUW2mXlaf0yIp05CEPZEFNl/ubZNLx5aeTx2wBMkWN3dttqdMhQwlX7pKrsvCaI+vUHatc97HObc9Qd1nEJSrKMOKQNaiNgV7OQ1vwvoiWqUUhRa07sQbU=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464</Words>
  <Characters>2511</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Rybandt</dc:creator>
  <cp:lastModifiedBy>Ivan Bianchi</cp:lastModifiedBy>
  <cp:revision>13</cp:revision>
  <dcterms:created xsi:type="dcterms:W3CDTF">2022-05-02T02:02:00Z</dcterms:created>
  <dcterms:modified xsi:type="dcterms:W3CDTF">2022-12-21T14:45:00Z</dcterms:modified>
</cp:coreProperties>
</file>