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760.0" w:type="dxa"/>
        <w:tblLayout w:type="fixed"/>
        <w:tblLook w:val="0000"/>
      </w:tblPr>
      <w:tblGrid>
        <w:gridCol w:w="2178"/>
        <w:gridCol w:w="7938"/>
        <w:tblGridChange w:id="0">
          <w:tblGrid>
            <w:gridCol w:w="2178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ASPECTOS DE IMPORTÂNCIA NA SANIDADE DE SUÍNOS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(1 crédito = 15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Jalusa Deon Kich, Janice Reis Ciacci Zanella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Professores 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Biossegurança em granjas de suínos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Doenças Entéricas (bacterianas)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Doenças respiratórias (bacterianas); Meningite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Doenças do aparelho locomotor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Doenças virais (Influenza)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Doenças virais (PCV2, Parvovirus)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Doenças virais (Aujesky)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Doenças vírais (Exóticas PRRS e PED)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Micobacterioses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Doenças reprodutivas e urinárias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Coleta de material para diagnóstico laboratorial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Coleta de material para diagnóstico laboratorial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Monitorias de abatedouro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Diagnóstico de patógenos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Necropsia de suínos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Avaliação global de rebanhos (exame clínico geral e individual)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Planejamento de biosseguridade em granjas de suínos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Avaliação sanitária de rebanhos suínos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Programas de vacinação e medicação estratégica para rebanhos suínos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Capacitar o pós-graduando ao domínio da etiopatogenia, prevenção, controle e tratamento de doenças produzidas por vírus e bactérias e propiciar noções de sanidade suína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Estimular o senso crítico do pós-graduando, tomando-o capaz de tomar decisões relativas às questões abordadas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Tornar o pós-graduando capaz de: compor diagnóstico de doenças de rebanhos suínos, considerando o histórico da granja, sinais clínicos, necropsia e testes laboratoriais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Elaborar um planejamento sanitário para prevenção e controle de doenças em rebanhos suínos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Oportunizar o profissional a usar seus conhecimentos básicos e aplicar em situações mais complexas nos rebanhos suínos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Exercitar uma visão mais globalizada de controle de doenças, onde o profissional precisa planejar a produção considerando conceitos sanitários de prevenção de doenças.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BIBLIOGRAFIA BÁSICA (mínino de 5 referências atualizadas, máximo 10 anos)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BARCELLOS, D.; GUEDES, R.M.C. Doença dos Suínos. 3ª ed. S/ed. 2022. 1058p.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QUINN, P.J.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Veterinary Microbiology and Microbial Disease</w:t>
            </w:r>
            <w:r w:rsidDel="00000000" w:rsidR="00000000" w:rsidRPr="00000000">
              <w:rPr>
                <w:vertAlign w:val="baseline"/>
                <w:rtl w:val="0"/>
              </w:rPr>
              <w:t xml:space="preserve">. 2ª ed. Chichester, West Sussex, UK: Wiley-Blackwell, 2011, 912 p. 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SOBESTIANSKY, J.; BARCELLOS, D.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Doenças de Suínos.</w:t>
            </w:r>
            <w:r w:rsidDel="00000000" w:rsidR="00000000" w:rsidRPr="00000000">
              <w:rPr>
                <w:vertAlign w:val="baseline"/>
                <w:rtl w:val="0"/>
              </w:rPr>
              <w:t xml:space="preserve"> 2ª Ed. Goiânia: Cânone, 2012.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SOBESTIANSKY, J.; BARCELLOS, D.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Atlas de Doenças de Suínos</w:t>
            </w:r>
            <w:r w:rsidDel="00000000" w:rsidR="00000000" w:rsidRPr="00000000">
              <w:rPr>
                <w:vertAlign w:val="baseline"/>
                <w:rtl w:val="0"/>
              </w:rPr>
              <w:t xml:space="preserve">. 1ª ed. Grafica Art3, 2003.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SIMS, L.D.; GLASTONBURY, J.R.W.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Pathology of the Pig: a Diagnostic Guide</w:t>
            </w:r>
            <w:r w:rsidDel="00000000" w:rsidR="00000000" w:rsidRPr="00000000">
              <w:rPr>
                <w:vertAlign w:val="baseline"/>
                <w:rtl w:val="0"/>
              </w:rPr>
              <w:t xml:space="preserve">. 1º ed. D.G. Walker Pty Ltd, 1996.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ZIMMERMAN, J.J.; KARRIKER, L.A.; RAMIREZ, A.; SCHWARTZ, K.J.; STEVENSON, G.W.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Diseases of Swine.</w:t>
            </w:r>
            <w:r w:rsidDel="00000000" w:rsidR="00000000" w:rsidRPr="00000000">
              <w:rPr>
                <w:vertAlign w:val="baseline"/>
                <w:rtl w:val="0"/>
              </w:rPr>
              <w:t xml:space="preserve"> 10 ed. Ames, IA, USA: Wiley-Blackwell, 2012, 1180 p.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Periódicos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AMERICAN ASSOCIATION OF SWINE VETERINARIANS: https://www.aasv.org/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CIÊNCIA RURAL:http://coral.ufsm.br/ccrrevista/</w:t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JOURNAL OF ANIMAL SCIENCE: https://www.animalsciencepublications.org/publications/jas</w:t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JOURNAL OF SWINE HEALTH AND PRODUCTION: https://www.aasv.org/shap/issues/</w:t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PESQUISA VETERINÁRIA BRASILEIRA:http://www.pvb.com.br/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PREVENTIVE VETERINARY MEDICINE: http://www.journals.elsevier.com/preventive-veterinary-medicine/</w:t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VACCINE: http://www.journals.elsevier.com/vaccine/</w:t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VETERINARY MICROBIOLOGY: http://www.journals.elsevier.com/veterinary-microbiology/</w:t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VETERINARY PATHOLOGY: http://vet.sagepub.com/</w:t>
            </w:r>
          </w:p>
          <w:p w:rsidR="00000000" w:rsidDel="00000000" w:rsidP="00000000" w:rsidRDefault="00000000" w:rsidRPr="00000000" w14:paraId="00000023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VIROLOGY: http://www.journals.elsevier.com/virology/</w:t>
            </w:r>
          </w:p>
        </w:tc>
      </w:tr>
    </w:tbl>
    <w:p w:rsidR="00000000" w:rsidDel="00000000" w:rsidP="00000000" w:rsidRDefault="00000000" w:rsidRPr="00000000" w14:paraId="00000025">
      <w:pPr>
        <w:spacing w:after="0"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="1560" w:firstLineChars="-1"/>
      <w:jc w:val="both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TAdoMQHdGlTk18Zplv7G8Y0UKw==">AMUW2mUVYuVIttVUxlPPul8PAit9vFCoZz2UXxwlU/k+ElfGEonmBMBcPJebf5Ubpx/WnzKuDTu62TTXVP/50RYS2oWaIkWZ8Il1yGd5o88tI4mxT9Cug1uMV5F8TJkiM74r5sKe4wam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2020-04-15T21:09:00Z</dcterms:created>
  <dc:creator>Raquel Rybandt</dc:creator>
</cp:coreProperties>
</file>