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2A92" w14:textId="77777777" w:rsidR="00A14EC8" w:rsidRDefault="00A14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30CE1E8" w14:textId="77777777" w:rsidR="00A14EC8" w:rsidRDefault="00A14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116" w:type="dxa"/>
        <w:tblInd w:w="-690" w:type="dxa"/>
        <w:tblLayout w:type="fixed"/>
        <w:tblLook w:val="0000" w:firstRow="0" w:lastRow="0" w:firstColumn="0" w:lastColumn="0" w:noHBand="0" w:noVBand="0"/>
      </w:tblPr>
      <w:tblGrid>
        <w:gridCol w:w="2178"/>
        <w:gridCol w:w="1626"/>
        <w:gridCol w:w="1549"/>
        <w:gridCol w:w="1995"/>
        <w:gridCol w:w="2768"/>
      </w:tblGrid>
      <w:tr w:rsidR="00A14EC8" w14:paraId="4F934DE6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4343F8" w14:textId="77777777" w:rsidR="00A14EC8" w:rsidRDefault="00DD20B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A14EC8" w14:paraId="2AA8336C" w14:textId="77777777">
        <w:trPr>
          <w:trHeight w:val="5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4200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Disciplina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E4D9" w14:textId="77777777" w:rsidR="00A14EC8" w:rsidRDefault="00DD20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>DIAGNÓSTICO E CONTROLE DAS PRINCIPAIS PLANTAS TÓXICAS DE INTERESSE PECUÁRIO</w:t>
            </w:r>
          </w:p>
        </w:tc>
      </w:tr>
      <w:tr w:rsidR="00A14EC8" w14:paraId="07CBBAFE" w14:textId="77777777">
        <w:trPr>
          <w:trHeight w:val="5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80DE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Obrigatória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74D3" w14:textId="77777777" w:rsidR="00A14EC8" w:rsidRDefault="00DD20B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  <w:tr w:rsidR="00A14EC8" w14:paraId="1894CB28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4AF6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Créditos</w:t>
            </w:r>
          </w:p>
          <w:p w14:paraId="51358B0B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crédito = 15 horas)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105F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14EC8" w14:paraId="6BDC2EF7" w14:textId="77777777">
        <w:trPr>
          <w:trHeight w:val="398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426B51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Práticos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B53A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51C2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Teóricos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313B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6F4A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4EC8" w14:paraId="113B7BDD" w14:textId="77777777">
        <w:trPr>
          <w:trHeight w:val="397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02A5B3" w14:textId="77777777" w:rsidR="00A14EC8" w:rsidRDefault="00A14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BA7C" w14:textId="77777777" w:rsidR="00A14EC8" w:rsidRDefault="00A14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2DFD" w14:textId="77777777" w:rsidR="00A14EC8" w:rsidRDefault="00A14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85C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Remoto Síncrono e/ou EaD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B83B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4EC8" w14:paraId="4DEB85AC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8B41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responsável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F867" w14:textId="1C8ABF91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Ricardo </w:t>
            </w:r>
            <w:r w:rsidR="004607B9">
              <w:rPr>
                <w:b/>
                <w:sz w:val="24"/>
                <w:szCs w:val="24"/>
              </w:rPr>
              <w:t xml:space="preserve">Evandro </w:t>
            </w:r>
            <w:r>
              <w:rPr>
                <w:b/>
                <w:sz w:val="24"/>
                <w:szCs w:val="24"/>
              </w:rPr>
              <w:t>Mendes</w:t>
            </w:r>
          </w:p>
        </w:tc>
      </w:tr>
      <w:tr w:rsidR="00A14EC8" w14:paraId="324E5E53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F3DF" w14:textId="77777777" w:rsidR="00A14EC8" w:rsidRDefault="00DD20B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Professores colaboradores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8A6C" w14:textId="77777777" w:rsidR="00A14EC8" w:rsidRDefault="00DD20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14EC8" w14:paraId="315432E1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857132" w14:textId="77777777" w:rsidR="00A14EC8" w:rsidRDefault="00DD20B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EMENTA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14EC8" w14:paraId="1265DECF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9F8F" w14:textId="77777777" w:rsidR="00A14EC8" w:rsidRDefault="00DD20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t>Estudo clínico, patológico, diagnóstico, tratamento e controle das principais intoxicações por substâncias químicas. Micotoxicoses. Estudo clínico, patológico, diagnóstico, tratamento e controle das principais intoxicações por plantas tóxicas. Técnicas para controle e prevenção das toxicoses. Metodologias experimentais para plantas tóxicas. Aulas à campo, com exame clínico e necropsia de animais de produção.</w:t>
            </w:r>
          </w:p>
        </w:tc>
      </w:tr>
      <w:tr w:rsidR="00A14EC8" w14:paraId="412B59A8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2164F7" w14:textId="77777777" w:rsidR="00A14EC8" w:rsidRDefault="00DD20B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 BÁSICA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A14EC8" w14:paraId="2800C2E1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A86" w14:textId="77777777" w:rsidR="00A14EC8" w:rsidRDefault="00DD20B1">
            <w:pPr>
              <w:spacing w:line="240" w:lineRule="auto"/>
              <w:rPr>
                <w:sz w:val="20"/>
                <w:szCs w:val="20"/>
              </w:rPr>
            </w:pPr>
            <w:r>
              <w:t>CONSTABLE, P. D.; HINCHCLIFF, K. W.; DONE, S.; GRÜNBERG, W.</w:t>
            </w:r>
            <w:r>
              <w:rPr>
                <w:b/>
              </w:rPr>
              <w:t xml:space="preserve"> </w:t>
            </w:r>
            <w:r>
              <w:rPr>
                <w:b/>
                <w:color w:val="0F1111"/>
              </w:rPr>
              <w:t>Veterinary Medicine: A textbook of the diseases of cattle, horses, sheep, pigs and goats</w:t>
            </w:r>
            <w:r>
              <w:rPr>
                <w:color w:val="0F1111"/>
              </w:rPr>
              <w:t xml:space="preserve">. 2 vol. 11 ed. </w:t>
            </w:r>
            <w:r>
              <w:t xml:space="preserve"> St. Louis, Missouri: Elsevier, 2022. </w:t>
            </w:r>
            <w:r>
              <w:rPr>
                <w:color w:val="0F1111"/>
                <w:highlight w:val="white"/>
              </w:rPr>
              <w:t>2278</w:t>
            </w:r>
            <w:r>
              <w:t>p.</w:t>
            </w:r>
          </w:p>
          <w:p w14:paraId="2F6C8E03" w14:textId="77777777" w:rsidR="00A14EC8" w:rsidRDefault="00DD20B1">
            <w:pPr>
              <w:spacing w:line="240" w:lineRule="auto"/>
            </w:pPr>
            <w:r>
              <w:t xml:space="preserve">GRUPTA, R.C. </w:t>
            </w:r>
            <w:r>
              <w:rPr>
                <w:b/>
              </w:rPr>
              <w:t>Veterinary Toxicology: Basic and Clinical Principles</w:t>
            </w:r>
            <w:r>
              <w:t>. 2.ed. Academic Press. 1454p. 2012.</w:t>
            </w:r>
          </w:p>
          <w:p w14:paraId="7290DFEE" w14:textId="77777777" w:rsidR="00A14EC8" w:rsidRDefault="00DD20B1">
            <w:pPr>
              <w:spacing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highlight w:val="white"/>
              </w:rPr>
            </w:pPr>
            <w:r>
              <w:t xml:space="preserve">HASCHEK, W. M.; ROUSSEAUX, C. G.; WALLIG, M. A.; BOLON, B. </w:t>
            </w:r>
            <w:r>
              <w:rPr>
                <w:b/>
                <w:color w:val="0F1111"/>
              </w:rPr>
              <w:t>Haschek and Rousseaux's Handbook of Toxicologic Pathology</w:t>
            </w:r>
            <w:r>
              <w:rPr>
                <w:color w:val="0F1111"/>
              </w:rPr>
              <w:t xml:space="preserve">. 2 vol. 4. ed. </w:t>
            </w:r>
            <w:r>
              <w:t xml:space="preserve">London: </w:t>
            </w:r>
            <w:r>
              <w:rPr>
                <w:color w:val="0F1111"/>
                <w:highlight w:val="white"/>
              </w:rPr>
              <w:t>Academic Press</w:t>
            </w:r>
            <w:r>
              <w:t xml:space="preserve">, 2022. </w:t>
            </w:r>
            <w:r>
              <w:rPr>
                <w:color w:val="0F1111"/>
                <w:highlight w:val="white"/>
              </w:rPr>
              <w:t>2102p</w:t>
            </w:r>
            <w:r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highlight w:val="white"/>
              </w:rPr>
              <w:t>.</w:t>
            </w:r>
          </w:p>
          <w:p w14:paraId="3AEB9B4E" w14:textId="77777777" w:rsidR="00A14EC8" w:rsidRDefault="00DD20B1">
            <w:pPr>
              <w:spacing w:line="240" w:lineRule="auto"/>
            </w:pPr>
            <w:r>
              <w:t xml:space="preserve">HASCHEK, W.M.; ROUSSEAUX, C.G.; WALLING, M.A. </w:t>
            </w:r>
            <w:r>
              <w:rPr>
                <w:b/>
              </w:rPr>
              <w:t>Haschek and Rousseaux's Handbook of Toxicologic Pathology.</w:t>
            </w:r>
            <w:r>
              <w:t xml:space="preserve"> 3.ed. Academic Press. 3054p. 2013.</w:t>
            </w:r>
          </w:p>
          <w:p w14:paraId="7BB1E443" w14:textId="77777777" w:rsidR="00A14EC8" w:rsidRDefault="00DD20B1">
            <w:pPr>
              <w:spacing w:line="240" w:lineRule="auto"/>
            </w:pPr>
            <w:r>
              <w:t xml:space="preserve">KELLERMAN, T.S.; COETZER, J.A.W.; NAUDE, T.W.; BOTHA, C.J. </w:t>
            </w:r>
            <w:r>
              <w:rPr>
                <w:b/>
              </w:rPr>
              <w:t>Plant Poisonings &amp; Mycotoxicoses of Livestock in South Africa</w:t>
            </w:r>
            <w:r>
              <w:t>. Oxford University Press. 256p. 2007.</w:t>
            </w:r>
          </w:p>
          <w:p w14:paraId="728ED1E0" w14:textId="77777777" w:rsidR="00A14EC8" w:rsidRDefault="00DD20B1">
            <w:pPr>
              <w:spacing w:line="240" w:lineRule="auto"/>
            </w:pPr>
            <w:r>
              <w:lastRenderedPageBreak/>
              <w:t xml:space="preserve">KRIEGER, R. </w:t>
            </w:r>
            <w:r>
              <w:rPr>
                <w:b/>
              </w:rPr>
              <w:t>Hayes' Handbook of Pesticide Toxicology</w:t>
            </w:r>
            <w:r>
              <w:t>. 3.ed. Academic Press. 2000p. 2010.</w:t>
            </w:r>
          </w:p>
          <w:p w14:paraId="6C16822C" w14:textId="77777777" w:rsidR="00A14EC8" w:rsidRDefault="00DD20B1">
            <w:pPr>
              <w:spacing w:line="240" w:lineRule="auto"/>
            </w:pPr>
            <w:r>
              <w:t xml:space="preserve">MAXIE, G. </w:t>
            </w:r>
            <w:r>
              <w:rPr>
                <w:b/>
              </w:rPr>
              <w:t>Jubb, Kennedy &amp; Palmer's Pathology of Domestic Animals: 3 vol</w:t>
            </w:r>
            <w:r>
              <w:t>. 6.ed. Saunders. 2456p. 2015.</w:t>
            </w:r>
          </w:p>
          <w:p w14:paraId="368CBF4E" w14:textId="77777777" w:rsidR="00A14EC8" w:rsidRDefault="00DD20B1">
            <w:pPr>
              <w:spacing w:line="240" w:lineRule="auto"/>
            </w:pPr>
            <w:r>
              <w:t xml:space="preserve">OSWEILER, G. </w:t>
            </w:r>
            <w:r>
              <w:rPr>
                <w:b/>
              </w:rPr>
              <w:t>Ruminant Toxicology</w:t>
            </w:r>
            <w:r>
              <w:t>, An Issue of Veterinary Clinics: Food Animal Practice. Saunders. 296p. 2011.</w:t>
            </w:r>
          </w:p>
          <w:p w14:paraId="5093EDC6" w14:textId="77777777" w:rsidR="00A14EC8" w:rsidRDefault="00DD20B1">
            <w:pPr>
              <w:spacing w:line="240" w:lineRule="auto"/>
            </w:pPr>
            <w:r>
              <w:t xml:space="preserve">PLUMLEE, K. </w:t>
            </w:r>
            <w:r>
              <w:rPr>
                <w:b/>
              </w:rPr>
              <w:t>Clinical Veterinary Toxicology</w:t>
            </w:r>
            <w:r>
              <w:t>. Mosby. 504p. 2003.</w:t>
            </w:r>
          </w:p>
          <w:p w14:paraId="5615A7FC" w14:textId="77777777" w:rsidR="00A14EC8" w:rsidRDefault="00DD20B1">
            <w:pPr>
              <w:spacing w:before="200"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RIET-CORREA, F.; SCHILD, A.L.; LEMOS, R.A.A.; BORGES, J.R.J., MACHADO, M. </w:t>
            </w:r>
            <w:r>
              <w:rPr>
                <w:b/>
                <w:color w:val="FF0000"/>
                <w:sz w:val="24"/>
                <w:szCs w:val="24"/>
              </w:rPr>
              <w:t>Doenças de ruminantes e equinos</w:t>
            </w:r>
            <w:r>
              <w:rPr>
                <w:color w:val="FF0000"/>
                <w:sz w:val="24"/>
                <w:szCs w:val="24"/>
              </w:rPr>
              <w:t>. 4ª ed. Vol. 1 e 2.  MEDVET, 2022. 1636p.</w:t>
            </w:r>
          </w:p>
          <w:p w14:paraId="17DA4D55" w14:textId="77777777" w:rsidR="00A14EC8" w:rsidRDefault="00DD20B1">
            <w:pPr>
              <w:spacing w:line="240" w:lineRule="auto"/>
            </w:pPr>
            <w:r>
              <w:t xml:space="preserve">RIET-CORREA, F.; PFISTER, J.; SCHILD, A.L.; WIERENGA, T.L. Poisoning by Plants, </w:t>
            </w:r>
            <w:r>
              <w:rPr>
                <w:b/>
              </w:rPr>
              <w:t>Mycotoxins and Related Toxins</w:t>
            </w:r>
            <w:r>
              <w:t>. CABI. 660p. 2011.</w:t>
            </w:r>
          </w:p>
          <w:p w14:paraId="2CD5871A" w14:textId="77777777" w:rsidR="00A14EC8" w:rsidRDefault="00DD20B1">
            <w:pPr>
              <w:spacing w:before="200" w:line="360" w:lineRule="auto"/>
            </w:pPr>
            <w:r>
              <w:rPr>
                <w:color w:val="FF0000"/>
                <w:sz w:val="24"/>
                <w:szCs w:val="24"/>
              </w:rPr>
              <w:t xml:space="preserve">SANTOS, R.L.; ALESSI, A.C. </w:t>
            </w:r>
            <w:r>
              <w:rPr>
                <w:b/>
                <w:color w:val="FF0000"/>
                <w:sz w:val="24"/>
                <w:szCs w:val="24"/>
              </w:rPr>
              <w:t>Patologia veterinária</w:t>
            </w:r>
            <w:r>
              <w:rPr>
                <w:color w:val="FF0000"/>
                <w:sz w:val="24"/>
                <w:szCs w:val="24"/>
              </w:rPr>
              <w:t>. . 3.ed. Guanabara Koogan, 2023. 990p.</w:t>
            </w:r>
          </w:p>
          <w:p w14:paraId="16ACC664" w14:textId="77777777" w:rsidR="00A14EC8" w:rsidRDefault="00DD20B1">
            <w:pPr>
              <w:spacing w:before="200" w:line="36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SMITH, B.; VAN METRE, D.; PUSTERLA, N. 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Large animal internal medicine</w:t>
            </w:r>
            <w:r>
              <w:rPr>
                <w:color w:val="222222"/>
                <w:sz w:val="24"/>
                <w:szCs w:val="24"/>
                <w:highlight w:val="white"/>
              </w:rPr>
              <w:t>. Elsevier, 2019.</w:t>
            </w:r>
          </w:p>
          <w:p w14:paraId="7D43AAEA" w14:textId="77777777" w:rsidR="00A14EC8" w:rsidRDefault="00DD20B1">
            <w:pPr>
              <w:spacing w:line="240" w:lineRule="auto"/>
            </w:pPr>
            <w:r>
              <w:t xml:space="preserve">TOKARNIA, C.H.; BRITO, M.F.; BARBOSA, J.D.; PEIXOTO, P.V.; DÖBEREINER, J. </w:t>
            </w:r>
            <w:r>
              <w:rPr>
                <w:b/>
              </w:rPr>
              <w:t>Plantas tóxicas do Brasil para animais de produção</w:t>
            </w:r>
            <w:r>
              <w:t>. 2.ed. Helianthus. 566p. 2012.</w:t>
            </w:r>
          </w:p>
        </w:tc>
      </w:tr>
    </w:tbl>
    <w:p w14:paraId="4040EC8F" w14:textId="77777777" w:rsidR="00A14EC8" w:rsidRDefault="00A14EC8"/>
    <w:sectPr w:rsidR="00A14E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85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36CB" w14:textId="77777777" w:rsidR="004B1DCA" w:rsidRDefault="004B1DCA">
      <w:pPr>
        <w:spacing w:after="0" w:line="240" w:lineRule="auto"/>
      </w:pPr>
      <w:r>
        <w:separator/>
      </w:r>
    </w:p>
  </w:endnote>
  <w:endnote w:type="continuationSeparator" w:id="0">
    <w:p w14:paraId="42F58E66" w14:textId="77777777" w:rsidR="004B1DCA" w:rsidRDefault="004B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09C2" w14:textId="77777777" w:rsidR="00A14EC8" w:rsidRDefault="00DD2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112D5F70" wp14:editId="14B2F3C7">
          <wp:simplePos x="0" y="0"/>
          <wp:positionH relativeFrom="column">
            <wp:posOffset>-1089656</wp:posOffset>
          </wp:positionH>
          <wp:positionV relativeFrom="paragraph">
            <wp:posOffset>-352421</wp:posOffset>
          </wp:positionV>
          <wp:extent cx="7560310" cy="946785"/>
          <wp:effectExtent l="0" t="0" r="0" b="0"/>
          <wp:wrapNone/>
          <wp:docPr id="1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DEF3" w14:textId="77777777" w:rsidR="004B1DCA" w:rsidRDefault="004B1DCA">
      <w:pPr>
        <w:spacing w:after="0" w:line="240" w:lineRule="auto"/>
      </w:pPr>
      <w:r>
        <w:separator/>
      </w:r>
    </w:p>
  </w:footnote>
  <w:footnote w:type="continuationSeparator" w:id="0">
    <w:p w14:paraId="02C26A50" w14:textId="77777777" w:rsidR="004B1DCA" w:rsidRDefault="004B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1ED3" w14:textId="77777777" w:rsidR="00A14E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51D6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1.9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6B9B" w14:textId="77777777" w:rsidR="00A14EC8" w:rsidRDefault="00DD2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43C801FA" wp14:editId="6B009A53">
          <wp:simplePos x="0" y="0"/>
          <wp:positionH relativeFrom="column">
            <wp:posOffset>-1080131</wp:posOffset>
          </wp:positionH>
          <wp:positionV relativeFrom="paragraph">
            <wp:posOffset>-363851</wp:posOffset>
          </wp:positionV>
          <wp:extent cx="7562850" cy="1295400"/>
          <wp:effectExtent l="0" t="0" r="0" b="0"/>
          <wp:wrapNone/>
          <wp:docPr id="14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CE83" w14:textId="77777777" w:rsidR="00A14E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03ED3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7pt;height:841.9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C8"/>
    <w:rsid w:val="004607B9"/>
    <w:rsid w:val="004B1DCA"/>
    <w:rsid w:val="00A14EC8"/>
    <w:rsid w:val="00D27CF1"/>
    <w:rsid w:val="00DD20B1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36899"/>
  <w15:docId w15:val="{AA146E18-D3C9-4197-A40B-D9E4F21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x-none" w:eastAsia="pt-BR"/>
    </w:rPr>
  </w:style>
  <w:style w:type="character" w:customStyle="1" w:styleId="CorpodetextoChar">
    <w:name w:val="Corpo de texto Char"/>
    <w:link w:val="Corpodetexto"/>
    <w:rsid w:val="009245C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9245C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B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C5F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47079"/>
  </w:style>
  <w:style w:type="character" w:styleId="Hyperlink">
    <w:name w:val="Hyperlink"/>
    <w:basedOn w:val="Fontepargpadro"/>
    <w:uiPriority w:val="99"/>
    <w:semiHidden/>
    <w:unhideWhenUsed/>
    <w:rsid w:val="00EA080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hQ53OjMphqlPkIcxlF5FCCBZg==">AMUW2mUCZAgSkrpdQdQDMr23cU3WowTRoSkeiI0giKs9ECIl5twZvbFncNkduU4vTO/W62VBO1oIdYCqPhdMOn+W04FW5vCSlq6W2z7mzoQZmr6xDfXdNMc=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Rybandt</dc:creator>
  <cp:lastModifiedBy>Ivan Bianchi</cp:lastModifiedBy>
  <cp:revision>3</cp:revision>
  <dcterms:created xsi:type="dcterms:W3CDTF">2023-05-15T17:23:00Z</dcterms:created>
  <dcterms:modified xsi:type="dcterms:W3CDTF">2024-05-13T18:59:00Z</dcterms:modified>
</cp:coreProperties>
</file>