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DOENÇAS EXÓTICAS E EMERGENTES DOS ANIMAIS DOMÉSTICOS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Ricardo Mendes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Estudo etiologia, epidemiologia, patogenia, manifestações clínicas e patológicas, diagnóstico, controle e profilaxia das principais enfermidades exóticas e emergentes. 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CONSTABLE, P.D.; HINCHCLIFF, K. W.; DONE, S.; GRÜNBERG, W.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f1111"/>
                <w:rtl w:val="0"/>
              </w:rPr>
              <w:t xml:space="preserve">Veterinary Medicine: A textbook of the diseases of cattle, horses, sheep, pigs and goats</w:t>
            </w:r>
            <w:r w:rsidDel="00000000" w:rsidR="00000000" w:rsidRPr="00000000">
              <w:rPr>
                <w:color w:val="0f1111"/>
                <w:rtl w:val="0"/>
              </w:rPr>
              <w:t xml:space="preserve">. 2 vol. 11 ed. </w:t>
            </w:r>
            <w:r w:rsidDel="00000000" w:rsidR="00000000" w:rsidRPr="00000000">
              <w:rPr>
                <w:rtl w:val="0"/>
              </w:rPr>
              <w:t xml:space="preserve"> St. Louis, Missouri: Elsevier, 2022. </w:t>
            </w: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2278</w:t>
            </w:r>
            <w:r w:rsidDel="00000000" w:rsidR="00000000" w:rsidRPr="00000000">
              <w:rPr>
                <w:rtl w:val="0"/>
              </w:rPr>
              <w:t xml:space="preserve">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GYLES, C.L. et al.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Pathogenesis of bacterial infections in animals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John Wiley &amp; Sons, 2008.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KAPIL, S. et al.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Emerging, reemerging, and persistent infectious diseases of cattle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WB Saunders Co., 2010.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MAXIE, G.G.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Jubb, Kennedy &amp; Palmer's pathology of domestic animals: volume 2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Elsevier Health Sciences, 2015.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OIE (WORLD ORGANISATION FOR ANIMAL HEALTH).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Terrestrial Animal Health Code: General provisions.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23.ed, 2013. 406p. Disponível em: &lt;www.cnpc.org.br/arquivos/2013-en_csat-vol2.pdf&gt;. 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OIE (WORLD ORGANIZATION FOR ANIMAL HEALTH).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Terrestrial Animal Health Code: Recommendations applicable to OIE listed diseases and other diseases of importance in commercial trade.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23.ed, 2013. 306p. Disponível em: &lt;</w:t>
            </w:r>
            <w:hyperlink r:id="rId7">
              <w:r w:rsidDel="00000000" w:rsidR="00000000" w:rsidRPr="00000000">
                <w:rPr>
                  <w:sz w:val="24"/>
                  <w:szCs w:val="24"/>
                  <w:rtl w:val="0"/>
                </w:rPr>
                <w:t xml:space="preserve">www.cnpc.org.br/arquivos/2013-en_csat-vol2.pdf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 </w:t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OIE (WORLD ORGANISATION FOR ANIMAL HEALTH).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of Diagnostic Tests and Vaccines for Terrestrial Animals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 vol. 2008, 1359p. Disponível em: &lt;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http://www.oie.int/en/international-standard-setting/terrestrial-manual/access-online/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&gt;.</w:t>
            </w:r>
          </w:p>
          <w:p w:rsidR="00000000" w:rsidDel="00000000" w:rsidP="00000000" w:rsidRDefault="00000000" w:rsidRPr="00000000" w14:paraId="00000043">
            <w:pPr>
              <w:spacing w:before="20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RIET-CORREA, F.; SCHILD, A.L.; LEMOS, R.A.A.; BORGES, J.R.J., MACHADO, M.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Doenças de ruminantes e equinos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. 4ª ed. Vol. 1 e 2.  MEDVET, 2022. 1636p.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before="200" w:line="36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SANTOS, R.L.; ALESSI, A.C.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Patologia veterinária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. 3.ed. Guanabara Koogan, 2023. 990p.</w:t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SMITH, B.; VAN METRE, D.; PUSTERLA, N.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Large animal internal medicine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Elsevier, 2019.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SPICKLER, A.R.; ROTH, J.A.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Emerging and Exotic Diseases of Animals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4.ed. Iowa State College Press. 2010. 383p.</w:t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SPICKLER, A.R.; ROTH, J.A.; MENDES, R.E. The center for food security &amp; public health. Iowa State University. 2022. 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https://www.cfsph.iastate.edu/diseaseinfo/factsheets-pt/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TORTORA, G.J.; CASE, C.L.; FUNKE, B.R.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Microbiologia-12ª Edição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. Artmed Editora, 2016.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-1089658</wp:posOffset>
          </wp:positionH>
          <wp:positionV relativeFrom="paragraph">
            <wp:posOffset>-352423</wp:posOffset>
          </wp:positionV>
          <wp:extent cx="7560310" cy="946785"/>
          <wp:effectExtent b="0" l="0" r="0" t="0"/>
          <wp:wrapNone/>
          <wp:docPr id="1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-363853</wp:posOffset>
          </wp:positionV>
          <wp:extent cx="7562850" cy="1295400"/>
          <wp:effectExtent b="0" l="0" r="0" t="0"/>
          <wp:wrapNone/>
          <wp:docPr id="14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yperlink">
    <w:name w:val="Hyperlink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fsph.iastate.edu/diseaseinfo/factsheets-p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npc.org.br/arquivos/2013-en_csat-vol2.pdf" TargetMode="External"/><Relationship Id="rId8" Type="http://schemas.openxmlformats.org/officeDocument/2006/relationships/hyperlink" Target="http://www.oie.int/en/international-standard-setting/terrestrial-manual/access-online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qn7jZdFyaLs7jn6JwlHFj+ffkw==">AMUW2mUXnApa+MI1FnkMhq3cCrqYxX9LkVHrV8i9oVa9xW/u3tf9z2fNEQ6WOEu75YZwf31Az9MsbERIdSMJOiJFKtSkmaqsiOjdDMJ4w3Stjxtpon+WRyitdBr+Y86ih2coK/2lbTq5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2022-04-18T17:43:00Z</dcterms:created>
  <dc:creator>Raquel Rybandt</dc:creator>
</cp:coreProperties>
</file>