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-75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2175"/>
        <w:gridCol w:w="1620"/>
        <w:gridCol w:w="1545"/>
        <w:gridCol w:w="1995"/>
        <w:gridCol w:w="2850"/>
        <w:tblGridChange w:id="0">
          <w:tblGrid>
            <w:gridCol w:w="2175"/>
            <w:gridCol w:w="1620"/>
            <w:gridCol w:w="1545"/>
            <w:gridCol w:w="1995"/>
            <w:gridCol w:w="285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0e0e0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 Disciplina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PATOLOGIA MACROSCÓPICA DE MONOGÁSTRICOS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Obrigatória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Créditos</w:t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 crédito = 15 horas)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Práticos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Teóricos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Remoto Síncrono</w:t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 responsável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Teane Milagres Augusto Gomes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Professores colaboradores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0e0e0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Descrições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macroscópicas e técnicas de necropsia. Interpretação e o reconhecimento das diferentes alterações observadas durante exame de necropsia de animais de companhia e monogástricos de produção. Principais lesões de necropsia observadas na região de Santa Catarina. 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0e0e0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CONSTABLE, P. D. et al. </w:t>
            </w:r>
            <w:r w:rsidDel="00000000" w:rsidR="00000000" w:rsidRPr="00000000">
              <w:rPr>
                <w:b w:val="1"/>
                <w:color w:val="0f1111"/>
                <w:sz w:val="24"/>
                <w:szCs w:val="24"/>
                <w:rtl w:val="0"/>
              </w:rPr>
              <w:t xml:space="preserve">A textbook of the diseases of cattle, horses, sheep, pigs and goats.</w:t>
            </w:r>
            <w:r w:rsidDel="00000000" w:rsidR="00000000" w:rsidRPr="00000000">
              <w:rPr>
                <w:color w:val="0f111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St. Louis, Missouri: Elsevier, 2016.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GROSS T. L.; et al.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Skin Diseases of the Dog and Cat: Clinical and Histopathologic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Diagnosis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Wiley-Blackwell, 2008. 944p. 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KING, John M. et al.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The Necropsy Book.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Cornell University, Ithaca, 2005. 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ind w:right="-143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MAXIE, Grant.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Jubb, Kennedy &amp; Palmer's pathology of domestic animals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. 3 vol. 6ed., Elsevier, 2016.. 2456p.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MENDES, Ricardo Evandro; PEROSA, Fernanda Felicetti; GOMES, Teane Milagres Augusto.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Boletim de diagnóstico do laboratório de patologia veterinária 2013 – 2020.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v. 3. Concórdia, SC: Editora IFC, 2022. Disponível em: </w:t>
            </w:r>
            <w:hyperlink r:id="rId7">
              <w:r w:rsidDel="00000000" w:rsidR="00000000" w:rsidRPr="00000000">
                <w:rPr>
                  <w:color w:val="006798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https://doi.org/10.21166/bdpatvet.v3i1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OCARINO, N. M.; SERAKIDES, R. Técnica de necropsia em cães e gatos e alterações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post mortem.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Cadernos Técnicos de Veterinária e Zootecnia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n. 103, 2022. Disponível em: 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http://www.crmvmg.gov.br/Caderno/103.pdf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SANTOS, R.L.; ALESSI, A.C.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Patologia veterinária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 3.ed., Rio de Janeiro: Guanabara Koogan, 2023. 990p.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ZACHARY, James F.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Bases da patologia em veterinária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6a ed. Rio de J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aneiro: Guanabara Koogan, 2018. 1408p.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-351789</wp:posOffset>
          </wp:positionV>
          <wp:extent cx="7560310" cy="946150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1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0310" cy="129540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after="160" w:line="254" w:lineRule="auto"/>
    </w:pPr>
    <w:rPr>
      <w:color w:val="00000a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erChar" w:customStyle="1">
    <w:name w:val="Header Char"/>
    <w:basedOn w:val="DefaultParagraphFont"/>
    <w:link w:val="Header"/>
    <w:uiPriority w:val="99"/>
    <w:rsid w:val="00C35B57"/>
  </w:style>
  <w:style w:type="character" w:styleId="FooterChar" w:customStyle="1">
    <w:name w:val="Footer Char"/>
    <w:basedOn w:val="DefaultParagraphFont"/>
    <w:link w:val="Footer"/>
    <w:uiPriority w:val="99"/>
    <w:rsid w:val="00C35B57"/>
  </w:style>
  <w:style w:type="character" w:styleId="CorpodetextoChar" w:customStyle="1">
    <w:name w:val="Corpo de texto Char"/>
    <w:link w:val="TextBody"/>
    <w:rsid w:val="009245CA"/>
    <w:rPr>
      <w:rFonts w:ascii="Times New Roman" w:cs="Times New Roman" w:eastAsia="Lucida Sans Unicode" w:hAnsi="Times New Roman"/>
      <w:sz w:val="24"/>
      <w:szCs w:val="24"/>
      <w:lang w:eastAsia="pt-BR"/>
    </w:rPr>
  </w:style>
  <w:style w:type="character" w:styleId="RecuodecorpodetextoChar" w:customStyle="1">
    <w:name w:val="Recuo de corpo de texto Char"/>
    <w:link w:val="TextBodyIndent"/>
    <w:rsid w:val="009245CA"/>
    <w:rPr>
      <w:rFonts w:ascii="Times New Roman" w:cs="Times New Roman" w:eastAsia="Lucida Sans Unicode" w:hAnsi="Times New Roman"/>
      <w:sz w:val="24"/>
      <w:szCs w:val="24"/>
      <w:lang w:eastAsia="pt-BR"/>
    </w:rPr>
  </w:style>
  <w:style w:type="character" w:styleId="BalloonTextChar" w:customStyle="1">
    <w:name w:val="Balloon Text Char"/>
    <w:link w:val="BalloonText"/>
    <w:uiPriority w:val="99"/>
    <w:semiHidden w:val="1"/>
    <w:rsid w:val="007C5FB3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rsid w:val="00347079"/>
  </w:style>
  <w:style w:type="character" w:styleId="InternetLink" w:customStyle="1">
    <w:name w:val="Internet Link"/>
    <w:basedOn w:val="DefaultParagraphFont"/>
    <w:uiPriority w:val="99"/>
    <w:semiHidden w:val="1"/>
    <w:unhideWhenUsed w:val="1"/>
    <w:rsid w:val="00EA0800"/>
    <w:rPr>
      <w:color w:val="0000ff"/>
      <w:u w:val="single"/>
      <w:lang/>
    </w:rPr>
  </w:style>
  <w:style w:type="character" w:styleId="StrongEmphasis" w:customStyle="1">
    <w:name w:val="Strong Emphasis"/>
    <w:rPr>
      <w:b w:val="1"/>
      <w:bCs w:val="1"/>
    </w:rPr>
  </w:style>
  <w:style w:type="paragraph" w:styleId="Heading" w:customStyle="1">
    <w:name w:val="Heading"/>
    <w:basedOn w:val="Normal"/>
    <w:next w:val="TextBody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TextBody" w:customStyle="1">
    <w:name w:val="Text Body"/>
    <w:basedOn w:val="Normal"/>
    <w:link w:val="CorpodetextoChar"/>
    <w:rsid w:val="009245CA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4"/>
      <w:lang w:eastAsia="pt-BR" w:val="x-none"/>
    </w:r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 w:customStyle="1">
    <w:name w:val="Index"/>
    <w:basedOn w:val="Normal"/>
    <w:pPr>
      <w:suppressLineNumbers w:val="1"/>
    </w:pPr>
    <w:rPr>
      <w:rFonts w:cs="FreeSans"/>
    </w:rPr>
  </w:style>
  <w:style w:type="paragraph" w:styleId="Header">
    <w:name w:val="header"/>
    <w:basedOn w:val="Normal"/>
    <w:link w:val="HeaderChar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paragraph" w:styleId="TextBodyIndent" w:customStyle="1">
    <w:name w:val="Text Body Indent"/>
    <w:basedOn w:val="Normal"/>
    <w:link w:val="RecuodecorpodetextoChar"/>
    <w:rsid w:val="009245CA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/>
      <w:sz w:val="24"/>
      <w:szCs w:val="24"/>
      <w:lang w:eastAsia="pt-BR" w:val="x-non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C5FB3"/>
    <w:pPr>
      <w:spacing w:after="0" w:line="240" w:lineRule="auto"/>
    </w:pPr>
    <w:rPr>
      <w:rFonts w:ascii="Segoe UI" w:hAnsi="Segoe UI"/>
      <w:sz w:val="18"/>
      <w:szCs w:val="18"/>
      <w:lang w:eastAsia="x-none" w:val="x-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21166/bdpatvet.v3i1" TargetMode="External"/><Relationship Id="rId8" Type="http://schemas.openxmlformats.org/officeDocument/2006/relationships/hyperlink" Target="http://www.crmvmg.gov.br/Caderno/103.pdf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EDIB1BkOJzBjlCqU+fCe/S+hA==">AMUW2mUFRWS/9MV2lyVKKiAJNLLMU2BIimNSfEkr/HX+NnTF1IZ/R+v3las21QljmZUDO1iJXIorfVLZcRAy6OcE6iQZoAcIDS2udx68FJPO4EzOFWyrv/c=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2022-04-18T17:43:00Z</dcterms:created>
  <dc:creator>Raquel Rybandt</dc:creator>
</cp:coreProperties>
</file>