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1626"/>
        <w:gridCol w:w="1549"/>
        <w:gridCol w:w="1995"/>
        <w:gridCol w:w="2768"/>
        <w:tblGridChange w:id="0">
          <w:tblGrid>
            <w:gridCol w:w="2178"/>
            <w:gridCol w:w="1626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TÉCNICAS DE DIAGNÓSTICO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POST MORTEM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RUMINANTES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Ricardo Mendes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Técnica de necropsia. Não lesões. Lesões sem significado clínico. Alterações cadavéricas. Colheita, Remessa e Processamento de Materiais para Histopatologia. Procedimentos básicos de diagnóstico.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CONSTABLE, P.D.; HINCHCLIFF, K.W.; DONE, S.; GRÜNBERG, W.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f1111"/>
                <w:sz w:val="24"/>
                <w:szCs w:val="24"/>
                <w:rtl w:val="0"/>
              </w:rPr>
              <w:t xml:space="preserve">Veterinary Medicine: A textbook of the diseases of cattle, horses, sheep, pigs and goats</w:t>
            </w:r>
            <w:r w:rsidDel="00000000" w:rsidR="00000000" w:rsidRPr="00000000">
              <w:rPr>
                <w:color w:val="0f1111"/>
                <w:sz w:val="24"/>
                <w:szCs w:val="24"/>
                <w:rtl w:val="0"/>
              </w:rPr>
              <w:t xml:space="preserve">. 2 vol. 11 ed.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St. Louis, Missouri: Elsevier, 2022. </w:t>
            </w:r>
            <w:r w:rsidDel="00000000" w:rsidR="00000000" w:rsidRPr="00000000">
              <w:rPr>
                <w:color w:val="0f1111"/>
                <w:sz w:val="24"/>
                <w:szCs w:val="24"/>
                <w:highlight w:val="white"/>
                <w:rtl w:val="0"/>
              </w:rPr>
              <w:t xml:space="preserve">2278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p.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KING, J.M. et al. The necropsy book. Cornell University, Ithaca, 2005. 242p.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MAXIE G. (ed). Jubb, Kennedy &amp; palmer ́s Pathology of Domestic Animals. 6. ed. St. Louis, Missouri: Elsevier, 2015. 2456p.</w:t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MENDES, R.E.; MINGOTTI, T.R.; EDWARDS, J.F. Atlas de Patologia Veterinária. Concórdia, SC: Editora IFC, 2020. 125p. </w:t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MENDES, R.E.; CARNEIRO, C.; GOMES, T.M.A. Boletim de diagnóstico do laboratório de patologia veterinária 2013 – 2017. v. 2. Concórdia, SC: Editora IFC, 2018. 96p. Disponível em:</w:t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https://doi.org/10.21166/bdpatvet.v2i1. Acesso: Dez. de 2019.</w:t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MENDES, R.E.; PEROSA, F.F.; GOMES, T.M.A. Boletim de diagnóstico do laboratório de patologia veterinária 2013 – 2020. v. 3. Concórdia, SC: Editora IFC, 2022. 114p. Disponível em: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color w:val="ff0000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6798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https://doi.org/10.21166/bdpatvet.v3i1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 Acesso: Mar. de 2022.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20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RIET-CORREA, F.; SCHILD, A.L.; LEMOS, R.A.A.; BORGES, J.R.J., MACHADO, M.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Doenças de ruminantes e equinos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. 4ª ed. Vol. 1 e 2.  MEDVET, 2022. 1636p.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SANTOS, R.L.; ALESSI, A.C.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Patologia veterinária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. 3.ed. Guanabara Koogan, 2023. 990p.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SMITH, B.; VAN METRE, D.; PUSTERLA, N.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Large animal internal medicine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Elsevier, 2019.</w:t>
            </w:r>
          </w:p>
          <w:p w:rsidR="00000000" w:rsidDel="00000000" w:rsidP="00000000" w:rsidRDefault="00000000" w:rsidRPr="00000000" w14:paraId="0000004A">
            <w:pPr>
              <w:spacing w:after="0" w:line="360" w:lineRule="auto"/>
              <w:ind w:right="-143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ZACHARY, J.F. </w:t>
            </w:r>
            <w:r w:rsidDel="00000000" w:rsidR="00000000" w:rsidRPr="00000000">
              <w:rPr>
                <w:color w:val="0f1111"/>
                <w:sz w:val="24"/>
                <w:szCs w:val="24"/>
                <w:rtl w:val="0"/>
              </w:rPr>
              <w:t xml:space="preserve">Pathologic Basis of Veterinary Disease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7. ed. St. Louis, Missouri: Elsevier, 2022. </w:t>
            </w:r>
            <w:r w:rsidDel="00000000" w:rsidR="00000000" w:rsidRPr="00000000">
              <w:rPr>
                <w:color w:val="0f1111"/>
                <w:sz w:val="24"/>
                <w:szCs w:val="24"/>
                <w:highlight w:val="white"/>
                <w:rtl w:val="0"/>
              </w:rPr>
              <w:t xml:space="preserve">1528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-1089655</wp:posOffset>
          </wp:positionH>
          <wp:positionV relativeFrom="paragraph">
            <wp:posOffset>-352420</wp:posOffset>
          </wp:positionV>
          <wp:extent cx="7560310" cy="946785"/>
          <wp:effectExtent b="0" l="0" r="0" t="0"/>
          <wp:wrapNone/>
          <wp:docPr id="15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-363850</wp:posOffset>
          </wp:positionV>
          <wp:extent cx="7562850" cy="1295400"/>
          <wp:effectExtent b="0" l="0" r="0" t="0"/>
          <wp:wrapNone/>
          <wp:docPr id="15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Hyperlink">
    <w:name w:val="Hyperlink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21166/bdpatvet.v3i1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+hAbjRLzA9CxqyJ+UCdIf772ug==">AMUW2mW/xSRHUy83okkbQxbIKYiMHDW3yVTEvaHmMZiBjLdYR4Jqe+zEmAwWLg2iwDSnJU2+h27ji9KDrs+ZXrP9vCErl+ZvbSFUvPEwonwQNIqulqWXNHo=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2022-04-18T17:43:00Z</dcterms:created>
  <dc:creator>Raquel Rybandt</dc:creator>
</cp:coreProperties>
</file>