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116.0" w:type="dxa"/>
        <w:jc w:val="left"/>
        <w:tblInd w:w="-690.0" w:type="dxa"/>
        <w:tblLayout w:type="fixed"/>
        <w:tblLook w:val="0000"/>
      </w:tblPr>
      <w:tblGrid>
        <w:gridCol w:w="2176"/>
        <w:gridCol w:w="1626"/>
        <w:gridCol w:w="1551"/>
        <w:gridCol w:w="1995"/>
        <w:gridCol w:w="2768"/>
        <w:tblGridChange w:id="0">
          <w:tblGrid>
            <w:gridCol w:w="2176"/>
            <w:gridCol w:w="1626"/>
            <w:gridCol w:w="1551"/>
            <w:gridCol w:w="1995"/>
            <w:gridCol w:w="2768"/>
          </w:tblGrid>
        </w:tblGridChange>
      </w:tblGrid>
      <w:tr>
        <w:trPr>
          <w:cantSplit w:val="0"/>
          <w:trHeight w:val="23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0e0e0" w:val="clear"/>
            <w:vAlign w:val="center"/>
          </w:tcPr>
          <w:p w:rsidR="00000000" w:rsidDel="00000000" w:rsidP="00000000" w:rsidRDefault="00000000" w:rsidRPr="00000000" w14:paraId="00000002">
            <w:pPr>
              <w:widowControl w:val="0"/>
              <w:spacing w:after="0" w:line="36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IDENTIFICAÇÃO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7">
            <w:pPr>
              <w:widowControl w:val="0"/>
              <w:spacing w:after="0" w:line="36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Nome da Disciplina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VIGILÂNCIA SANITÁRIA E SAÚDE ÚNICA NA PRODUÇÃO ANIMAL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C">
            <w:pPr>
              <w:widowControl w:val="0"/>
              <w:spacing w:after="0" w:line="36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Obrigatória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Não</w:t>
            </w:r>
          </w:p>
        </w:tc>
      </w:tr>
      <w:tr>
        <w:trPr>
          <w:cantSplit w:val="0"/>
          <w:trHeight w:val="55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1">
            <w:pPr>
              <w:widowControl w:val="0"/>
              <w:spacing w:after="0" w:line="36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Total de Créditos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widowControl w:val="0"/>
              <w:spacing w:after="0" w:line="36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(1 crédito = 15 horas)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widowControl w:val="0"/>
              <w:spacing w:after="0" w:line="36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8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7">
            <w:pPr>
              <w:widowControl w:val="0"/>
              <w:spacing w:after="0" w:line="36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Práticos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8">
            <w:pPr>
              <w:widowControl w:val="0"/>
              <w:spacing w:after="0" w:line="36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9">
            <w:pPr>
              <w:widowControl w:val="0"/>
              <w:spacing w:after="0" w:line="36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Teóricos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A">
            <w:pPr>
              <w:widowControl w:val="0"/>
              <w:spacing w:after="0" w:line="36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Presencial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B">
            <w:pPr>
              <w:widowControl w:val="0"/>
              <w:spacing w:after="0" w:line="36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F">
            <w:pPr>
              <w:widowControl w:val="0"/>
              <w:spacing w:after="0" w:line="36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Remoto Síncrono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0">
            <w:pPr>
              <w:widowControl w:val="0"/>
              <w:spacing w:after="0" w:line="36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1">
            <w:pPr>
              <w:widowControl w:val="0"/>
              <w:spacing w:after="0" w:line="36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Professor responsável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2">
            <w:pPr>
              <w:widowControl w:val="0"/>
              <w:spacing w:after="0" w:line="36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Juliano Santos Gueretz -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Marcella Zampoli de Assis - Robert Lenoch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6">
            <w:pPr>
              <w:widowControl w:val="0"/>
              <w:spacing w:after="0" w:line="36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Professores colaboradores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7">
            <w:pPr>
              <w:widowControl w:val="0"/>
              <w:spacing w:after="0" w:line="36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0e0e0" w:val="clear"/>
            <w:vAlign w:val="center"/>
          </w:tcPr>
          <w:p w:rsidR="00000000" w:rsidDel="00000000" w:rsidP="00000000" w:rsidRDefault="00000000" w:rsidRPr="00000000" w14:paraId="0000002B">
            <w:pPr>
              <w:widowControl w:val="0"/>
              <w:spacing w:after="0" w:line="36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EMENTA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0">
            <w:pPr>
              <w:widowControl w:val="0"/>
              <w:spacing w:after="0" w:line="36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Cadeia epidemiológica e dinâmica das doenças transmissíveis. Indicadores de saúde. Processos epidêmicos. Planos de investigação de surtos e epidemias. Estratégias de prevenção e controle de enfermidades. Epidemiologia analítica. Delineamento de estudos epidemiológicos. Análise de fatores de risco. Elementos de epidemiologia qualitativa. Saúde única em produção animal, incluindo saúde do ambiente, zoonoses e influência antrópica.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0e0e0" w:val="clear"/>
            <w:vAlign w:val="center"/>
          </w:tcPr>
          <w:p w:rsidR="00000000" w:rsidDel="00000000" w:rsidP="00000000" w:rsidRDefault="00000000" w:rsidRPr="00000000" w14:paraId="00000035">
            <w:pPr>
              <w:widowControl w:val="0"/>
              <w:spacing w:after="0" w:line="36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BIBLIOGRAFIA BÁSICA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A">
            <w:pPr>
              <w:spacing w:after="0" w:before="240"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BARBOSA, R.P.; VIANA, V.J.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Poluição Ambiental e Saúde Pública.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1. São Paulo 2014.</w:t>
            </w:r>
          </w:p>
          <w:p w:rsidR="00000000" w:rsidDel="00000000" w:rsidP="00000000" w:rsidRDefault="00000000" w:rsidRPr="00000000" w14:paraId="0000003B">
            <w:pPr>
              <w:spacing w:after="0" w:before="240"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BOSA, C.R.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Meio ambiente e as zoonoses.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Curitiba: Contentus, 2020, 108p. </w:t>
            </w:r>
          </w:p>
          <w:p w:rsidR="00000000" w:rsidDel="00000000" w:rsidP="00000000" w:rsidRDefault="00000000" w:rsidRPr="00000000" w14:paraId="0000003C">
            <w:pPr>
              <w:spacing w:after="0" w:before="240"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BRANDÃO, M.L.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Vigilância epidemiológica.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Curitiba: Contentus 2020, 70p. </w:t>
            </w:r>
          </w:p>
          <w:p w:rsidR="00000000" w:rsidDel="00000000" w:rsidP="00000000" w:rsidRDefault="00000000" w:rsidRPr="00000000" w14:paraId="0000003D">
            <w:pPr>
              <w:spacing w:after="240" w:befor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BRASIL. Ministério da Saúde.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Guia de Vigilância em Saúde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, 3. Eed. Brasília: Ministério da Saúde, 2019, 741p.</w:t>
            </w:r>
          </w:p>
          <w:p w:rsidR="00000000" w:rsidDel="00000000" w:rsidP="00000000" w:rsidRDefault="00000000" w:rsidRPr="00000000" w14:paraId="0000003E">
            <w:pPr>
              <w:spacing w:after="0" w:before="240"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BRASIL. Ministério da Saúde.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Guia de Vigilância em Saúde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. Brasília: Ministério da Saúde, 2014. 812 p.</w:t>
            </w:r>
          </w:p>
          <w:p w:rsidR="00000000" w:rsidDel="00000000" w:rsidP="00000000" w:rsidRDefault="00000000" w:rsidRPr="00000000" w14:paraId="0000003F">
            <w:pPr>
              <w:spacing w:after="0" w:before="240"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BRINQUES, G.B.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Higiene e vigilância sanitária.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Editora Pearson 2016 218 p. </w:t>
            </w:r>
          </w:p>
          <w:p w:rsidR="00000000" w:rsidDel="00000000" w:rsidP="00000000" w:rsidRDefault="00000000" w:rsidRPr="00000000" w14:paraId="00000040">
            <w:pPr>
              <w:spacing w:after="0" w:before="240"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BUSATO, I.M.S.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Epidemiologia e processo saúde-doença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. Curitiba:‎ InterSaberes 2016, 246p.</w:t>
            </w:r>
          </w:p>
          <w:p w:rsidR="00000000" w:rsidDel="00000000" w:rsidP="00000000" w:rsidRDefault="00000000" w:rsidRPr="00000000" w14:paraId="00000041">
            <w:pPr>
              <w:spacing w:after="240" w:before="240"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FLETCHER, G.S.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Epidemiologia Clínica-: Elementos Essenciais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. Porto Alegre: Artmed, 2021, 288p.</w:t>
            </w:r>
          </w:p>
          <w:p w:rsidR="00000000" w:rsidDel="00000000" w:rsidP="00000000" w:rsidRDefault="00000000" w:rsidRPr="00000000" w14:paraId="00000042">
            <w:pPr>
              <w:spacing w:after="240" w:before="240"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GORDIS, L.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Epidemiologia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. São Paulo: Thieme Revinter, 2017, 404p.</w:t>
            </w:r>
          </w:p>
          <w:p w:rsidR="00000000" w:rsidDel="00000000" w:rsidP="00000000" w:rsidRDefault="00000000" w:rsidRPr="00000000" w14:paraId="00000043">
            <w:pPr>
              <w:spacing w:after="0" w:before="240"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ROCHA, J.S.Y.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Manual de saúde pública e saúde coletiva no Brasil.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São Paulo: Atheneu, 276p.</w:t>
            </w:r>
          </w:p>
          <w:p w:rsidR="00000000" w:rsidDel="00000000" w:rsidP="00000000" w:rsidRDefault="00000000" w:rsidRPr="00000000" w14:paraId="00000044">
            <w:pPr>
              <w:spacing w:after="240" w:before="240"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ROTHMAN, K.; GREENLAND, S.; LASH, T.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Epidemiologia Moderna-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3. Ed. Porto Alegre: Artmed, 2016, 888p.</w:t>
            </w:r>
          </w:p>
          <w:p w:rsidR="00000000" w:rsidDel="00000000" w:rsidP="00000000" w:rsidRDefault="00000000" w:rsidRPr="00000000" w14:paraId="00000045">
            <w:pPr>
              <w:spacing w:after="240" w:before="240"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ROUQUAYROL, M.Z.; ALMEIDA FILHO, N.de.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Epidemiologia e saúde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. Rio de Janeiro: MedBook; 8. ed. 2017, 744p.</w:t>
            </w:r>
          </w:p>
          <w:p w:rsidR="00000000" w:rsidDel="00000000" w:rsidP="00000000" w:rsidRDefault="00000000" w:rsidRPr="00000000" w14:paraId="00000046">
            <w:pPr>
              <w:spacing w:after="0" w:before="240"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TIETZMANN, D.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Epidemiologia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. São Paulo: Pearson Education do Brasil, 2015.</w:t>
            </w:r>
          </w:p>
        </w:tc>
      </w:tr>
    </w:tbl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701" w:top="2552" w:left="1701" w:right="85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Liberation San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-1089659</wp:posOffset>
          </wp:positionH>
          <wp:positionV relativeFrom="paragraph">
            <wp:posOffset>-352424</wp:posOffset>
          </wp:positionV>
          <wp:extent cx="7560310" cy="946785"/>
          <wp:effectExtent b="0" l="0" r="0" t="0"/>
          <wp:wrapNone/>
          <wp:docPr id="4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60310" cy="94678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-1080134</wp:posOffset>
          </wp:positionH>
          <wp:positionV relativeFrom="paragraph">
            <wp:posOffset>-363854</wp:posOffset>
          </wp:positionV>
          <wp:extent cx="7562850" cy="1295400"/>
          <wp:effectExtent b="0" l="0" r="0" t="0"/>
          <wp:wrapNone/>
          <wp:docPr id="3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62850" cy="12954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  <w:qFormat w:val="1"/>
    <w:pPr>
      <w:spacing w:after="160" w:line="259" w:lineRule="auto"/>
    </w:pPr>
    <w:rPr>
      <w:sz w:val="22"/>
      <w:szCs w:val="22"/>
      <w:lang w:eastAsia="en-US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CabealhoChar" w:customStyle="1">
    <w:name w:val="Cabeçalho Char"/>
    <w:basedOn w:val="Fontepargpadro"/>
    <w:link w:val="Cabealho"/>
    <w:uiPriority w:val="99"/>
    <w:qFormat w:val="1"/>
    <w:rsid w:val="00C35B57"/>
  </w:style>
  <w:style w:type="character" w:styleId="RodapChar" w:customStyle="1">
    <w:name w:val="Rodapé Char"/>
    <w:basedOn w:val="Fontepargpadro"/>
    <w:link w:val="Rodap"/>
    <w:uiPriority w:val="99"/>
    <w:qFormat w:val="1"/>
    <w:rsid w:val="00C35B57"/>
  </w:style>
  <w:style w:type="character" w:styleId="CorpodetextoChar" w:customStyle="1">
    <w:name w:val="Corpo de texto Char"/>
    <w:link w:val="Corpodetexto"/>
    <w:qFormat w:val="1"/>
    <w:rsid w:val="009245CA"/>
    <w:rPr>
      <w:rFonts w:ascii="Times New Roman" w:cs="Times New Roman" w:eastAsia="Lucida Sans Unicode" w:hAnsi="Times New Roman"/>
      <w:kern w:val="2"/>
      <w:sz w:val="24"/>
      <w:szCs w:val="24"/>
      <w:lang w:eastAsia="pt-BR"/>
    </w:rPr>
  </w:style>
  <w:style w:type="character" w:styleId="RecuodecorpodetextoChar" w:customStyle="1">
    <w:name w:val="Recuo de corpo de texto Char"/>
    <w:link w:val="Recuodecorpodetexto"/>
    <w:qFormat w:val="1"/>
    <w:rsid w:val="009245CA"/>
    <w:rPr>
      <w:rFonts w:ascii="Times New Roman" w:cs="Times New Roman" w:eastAsia="Lucida Sans Unicode" w:hAnsi="Times New Roman"/>
      <w:kern w:val="2"/>
      <w:sz w:val="24"/>
      <w:szCs w:val="24"/>
      <w:lang w:eastAsia="pt-BR"/>
    </w:rPr>
  </w:style>
  <w:style w:type="character" w:styleId="TextodebaloChar" w:customStyle="1">
    <w:name w:val="Texto de balão Char"/>
    <w:link w:val="Textodebalo"/>
    <w:uiPriority w:val="99"/>
    <w:semiHidden w:val="1"/>
    <w:qFormat w:val="1"/>
    <w:rsid w:val="007C5FB3"/>
    <w:rPr>
      <w:rFonts w:ascii="Segoe UI" w:cs="Segoe UI" w:hAnsi="Segoe UI"/>
      <w:sz w:val="18"/>
      <w:szCs w:val="18"/>
    </w:rPr>
  </w:style>
  <w:style w:type="character" w:styleId="apple-converted-space" w:customStyle="1">
    <w:name w:val="apple-converted-space"/>
    <w:qFormat w:val="1"/>
    <w:rsid w:val="00347079"/>
  </w:style>
  <w:style w:type="character" w:styleId="LinkdaInternet" w:customStyle="1">
    <w:name w:val="Link da Internet"/>
    <w:basedOn w:val="Fontepargpadro"/>
    <w:uiPriority w:val="99"/>
    <w:semiHidden w:val="1"/>
    <w:unhideWhenUsed w:val="1"/>
    <w:rsid w:val="00EA0800"/>
    <w:rPr>
      <w:color w:val="0000ff"/>
      <w:u w:val="single"/>
    </w:rPr>
  </w:style>
  <w:style w:type="character" w:styleId="Linkdainternetvisitado" w:customStyle="1">
    <w:name w:val="Link da internet visitado"/>
    <w:basedOn w:val="Fontepargpadro"/>
    <w:uiPriority w:val="99"/>
    <w:semiHidden w:val="1"/>
    <w:unhideWhenUsed w:val="1"/>
    <w:rsid w:val="00385352"/>
    <w:rPr>
      <w:color w:val="954f72" w:themeColor="followedHyperlink"/>
      <w:u w:val="single"/>
    </w:rPr>
  </w:style>
  <w:style w:type="character" w:styleId="nfase">
    <w:name w:val="Emphasis"/>
    <w:qFormat w:val="1"/>
    <w:rPr>
      <w:i w:val="1"/>
      <w:iCs w:val="1"/>
    </w:rPr>
  </w:style>
  <w:style w:type="paragraph" w:styleId="Ttulo">
    <w:name w:val="Title"/>
    <w:basedOn w:val="Normal"/>
    <w:next w:val="Corpodetexto"/>
    <w:qFormat w:val="1"/>
    <w:pPr>
      <w:keepNext w:val="1"/>
      <w:spacing w:after="120" w:before="240"/>
    </w:pPr>
    <w:rPr>
      <w:rFonts w:ascii="Liberation Sans" w:cs="Lucida Sans" w:eastAsia="Microsoft YaHei" w:hAnsi="Liberation Sans"/>
      <w:sz w:val="28"/>
      <w:szCs w:val="28"/>
    </w:rPr>
  </w:style>
  <w:style w:type="paragraph" w:styleId="Corpodetexto">
    <w:name w:val="Body Text"/>
    <w:basedOn w:val="Normal"/>
    <w:link w:val="CorpodetextoChar"/>
    <w:rsid w:val="009245CA"/>
    <w:pPr>
      <w:widowControl w:val="0"/>
      <w:spacing w:after="120" w:line="240" w:lineRule="auto"/>
    </w:pPr>
    <w:rPr>
      <w:rFonts w:ascii="Times New Roman" w:eastAsia="Lucida Sans Unicode" w:hAnsi="Times New Roman"/>
      <w:kern w:val="2"/>
      <w:sz w:val="24"/>
      <w:szCs w:val="24"/>
      <w:lang w:eastAsia="pt-BR" w:val="x-none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 w:val="1"/>
    <w:pPr>
      <w:suppressLineNumbers w:val="1"/>
      <w:spacing w:after="120" w:before="120"/>
    </w:pPr>
    <w:rPr>
      <w:rFonts w:cs="Lucida Sans"/>
      <w:i w:val="1"/>
      <w:iCs w:val="1"/>
      <w:sz w:val="24"/>
      <w:szCs w:val="24"/>
    </w:rPr>
  </w:style>
  <w:style w:type="paragraph" w:styleId="ndice" w:customStyle="1">
    <w:name w:val="Índice"/>
    <w:basedOn w:val="Normal"/>
    <w:qFormat w:val="1"/>
    <w:pPr>
      <w:suppressLineNumbers w:val="1"/>
    </w:pPr>
    <w:rPr>
      <w:rFonts w:cs="Lucida Sans"/>
    </w:rPr>
  </w:style>
  <w:style w:type="paragraph" w:styleId="CabealhoeRodap" w:customStyle="1">
    <w:name w:val="Cabeçalho e Rodapé"/>
    <w:basedOn w:val="Normal"/>
    <w:qFormat w:val="1"/>
  </w:style>
  <w:style w:type="paragraph" w:styleId="Cabealho">
    <w:name w:val="header"/>
    <w:basedOn w:val="Normal"/>
    <w:link w:val="CabealhoChar"/>
    <w:unhideWhenUsed w:val="1"/>
    <w:rsid w:val="00C35B57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 w:val="1"/>
    <w:rsid w:val="00C35B57"/>
    <w:pPr>
      <w:tabs>
        <w:tab w:val="center" w:pos="4252"/>
        <w:tab w:val="right" w:pos="8504"/>
      </w:tabs>
      <w:spacing w:after="0" w:line="240" w:lineRule="auto"/>
    </w:pPr>
  </w:style>
  <w:style w:type="paragraph" w:styleId="Recuodecorpodetexto">
    <w:name w:val="Body Text Indent"/>
    <w:basedOn w:val="Normal"/>
    <w:link w:val="RecuodecorpodetextoChar"/>
    <w:rsid w:val="009245CA"/>
    <w:pPr>
      <w:widowControl w:val="0"/>
      <w:spacing w:after="0" w:line="240" w:lineRule="auto"/>
      <w:ind w:firstLine="1560"/>
      <w:jc w:val="both"/>
    </w:pPr>
    <w:rPr>
      <w:rFonts w:ascii="Times New Roman" w:eastAsia="Lucida Sans Unicode" w:hAnsi="Times New Roman"/>
      <w:kern w:val="2"/>
      <w:sz w:val="24"/>
      <w:szCs w:val="24"/>
      <w:lang w:eastAsia="pt-BR" w:val="x-none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qFormat w:val="1"/>
    <w:rsid w:val="007C5FB3"/>
    <w:pPr>
      <w:spacing w:after="0" w:line="240" w:lineRule="auto"/>
    </w:pPr>
    <w:rPr>
      <w:rFonts w:ascii="Segoe UI" w:hAnsi="Segoe UI"/>
      <w:sz w:val="18"/>
      <w:szCs w:val="18"/>
      <w:lang w:eastAsia="x-none" w:val="x-no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tSnYiMsPdZtJ+8fom8PcUmQ7Orw==">AMUW2mWddno7T33nocmBiULbpIyzVVc3fO+tvDxh82xNSrKDBOFtC2upUn01K0his5D8YdLBdzIokQRD2kq2uzgaebn8MDa8dZ9rMg5uABUjusYsezkFNtU=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2022-05-02T13:02:00Z</dcterms:created>
  <dc:creator>Raquel Rybandt</dc:creator>
</cp:coreProperties>
</file>